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58D" w:rsidRDefault="00495F71" w:rsidP="00C8558D">
      <w:pPr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-443230</wp:posOffset>
                </wp:positionV>
                <wp:extent cx="6527800" cy="9540240"/>
                <wp:effectExtent l="31115" t="28575" r="32385" b="323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95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r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98.45pt;height:60.9pt" o:ole="" fillcolor="window">
                                  <v:imagedata r:id="rId7" o:title=""/>
                                </v:shape>
                                <o:OLEObject Type="Embed" ProgID="Word.Picture.8" ShapeID="_x0000_i1025" DrawAspect="Content" ObjectID="_1490534474" r:id="rId8"/>
                              </w:object>
                            </w:r>
                            <w:bookmarkStart w:id="0" w:name="_MON_1489592909"/>
                            <w:bookmarkEnd w:id="0"/>
                            <w:r w:rsidRPr="004D4888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6" type="#_x0000_t75" style="width:273.45pt;height:57.45pt" o:ole="" filled="t">
                                  <v:fill color2="black"/>
                                  <v:imagedata r:id="rId9" o:title=""/>
                                </v:shape>
                                <o:OLEObject Type="Embed" ProgID="Word.Picture.8" ShapeID="_x0000_i1026" DrawAspect="Content" ObjectID="_1490534475" r:id="rId10"/>
                              </w:object>
                            </w:r>
                          </w:p>
                          <w:p w:rsidR="007A1BC7" w:rsidRDefault="007A1BC7" w:rsidP="00C8558D"/>
                          <w:p w:rsidR="00495F71" w:rsidRDefault="00495F71" w:rsidP="00C8558D"/>
                          <w:p w:rsidR="00495F71" w:rsidRDefault="00495F71" w:rsidP="00C8558D"/>
                          <w:p w:rsidR="00495F71" w:rsidRDefault="00495F71" w:rsidP="00C8558D"/>
                          <w:tbl>
                            <w:tblPr>
                              <w:tblW w:w="0" w:type="auto"/>
                              <w:tblInd w:w="2943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663"/>
                            </w:tblGrid>
                            <w:tr w:rsidR="007A1BC7" w:rsidTr="00495F7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6663" w:type="dxa"/>
                                </w:tcPr>
                                <w:p w:rsidR="007A1BC7" w:rsidRDefault="007A1BC7" w:rsidP="009C2FF7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44"/>
                                    </w:rPr>
                                    <w:t xml:space="preserve"> 886 </w:t>
                                  </w:r>
                                </w:p>
                              </w:tc>
                            </w:tr>
                            <w:tr w:rsidR="007A1BC7" w:rsidRPr="007862A3" w:rsidTr="00495F7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6663" w:type="dxa"/>
                                </w:tcPr>
                                <w:p w:rsidR="007A1BC7" w:rsidRPr="007862A3" w:rsidRDefault="007A1BC7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A1BC7" w:rsidTr="00495F7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6663" w:type="dxa"/>
                                </w:tcPr>
                                <w:p w:rsidR="007A1BC7" w:rsidRDefault="007A1BC7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7A1BC7" w:rsidTr="00495F7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6663" w:type="dxa"/>
                                </w:tcPr>
                                <w:p w:rsidR="007A1BC7" w:rsidRDefault="007A1BC7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7A1BC7" w:rsidTr="00495F7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6663" w:type="dxa"/>
                                </w:tcPr>
                                <w:p w:rsidR="007A1BC7" w:rsidRDefault="007A1BC7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7A1BC7" w:rsidRPr="00C8558D" w:rsidTr="00495F7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6663" w:type="dxa"/>
                                </w:tcPr>
                                <w:p w:rsidR="007A1BC7" w:rsidRPr="00495F71" w:rsidRDefault="007A1BC7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  </w:t>
                                  </w:r>
                                  <w:r w:rsidRPr="00BE6209">
                                    <w:rPr>
                                      <w:b/>
                                      <w:sz w:val="24"/>
                                    </w:rPr>
                                    <w:t>ICS</w:t>
                                  </w:r>
                                  <w:r w:rsidRPr="00495F71"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bookmarkStart w:id="1" w:name="_GoBack"/>
                                  <w:r w:rsidRPr="00786D32">
                                    <w:rPr>
                                      <w:sz w:val="24"/>
                                    </w:rPr>
                                    <w:t>67.200.10</w:t>
                                  </w:r>
                                  <w:bookmarkEnd w:id="1"/>
                                </w:p>
                              </w:tc>
                            </w:tr>
                          </w:tbl>
                          <w:p w:rsidR="00495F71" w:rsidRDefault="00495F71" w:rsidP="00C855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95F71" w:rsidRDefault="00495F71" w:rsidP="00C855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95F71" w:rsidRDefault="00495F71" w:rsidP="00C855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7A1BC7" w:rsidRPr="00495F71" w:rsidRDefault="007A1BC7" w:rsidP="00C855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="00495F71">
                              <w:rPr>
                                <w:rFonts w:cs="Arial"/>
                              </w:rPr>
                              <w:tab/>
                            </w:r>
                            <w:r w:rsidR="00495F71" w:rsidRPr="00495F71">
                              <w:rPr>
                                <w:rFonts w:cs="Arial"/>
                                <w:b/>
                              </w:rPr>
                              <w:t xml:space="preserve">   </w:t>
                            </w:r>
                            <w:r w:rsidR="00C35CEC" w:rsidRPr="00495F71">
                              <w:rPr>
                                <w:rFonts w:cs="Arial"/>
                                <w:b/>
                              </w:rPr>
                              <w:t xml:space="preserve">            </w:t>
                            </w:r>
                            <w:r w:rsidRPr="00495F71">
                              <w:rPr>
                                <w:rFonts w:cs="Arial"/>
                                <w:b/>
                              </w:rPr>
                              <w:t>2. Baskı</w:t>
                            </w:r>
                            <w:r w:rsidRPr="00495F71" w:rsidDel="0089388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7A1BC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7A1BC7" w:rsidRDefault="007A1BC7"/>
                              </w:tc>
                            </w:tr>
                            <w:tr w:rsidR="007A1BC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7A1BC7" w:rsidRDefault="007A1BC7"/>
                              </w:tc>
                            </w:tr>
                            <w:tr w:rsidR="007A1BC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1485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7A1BC7" w:rsidRDefault="00495F71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YEMEKLİK AYÇİÇEK YAĞI</w:t>
                                  </w:r>
                                </w:p>
                                <w:p w:rsidR="007A1BC7" w:rsidRDefault="007A1BC7" w:rsidP="00C8558D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7A1BC7" w:rsidRPr="005B3A12" w:rsidRDefault="007A1BC7" w:rsidP="00C8558D">
                                  <w:pPr>
                                    <w:pStyle w:val="Balk6"/>
                                    <w:spacing w:before="0" w:after="0"/>
                                    <w:rPr>
                                      <w:b w:val="0"/>
                                      <w:sz w:val="28"/>
                                      <w:lang w:val="en-US"/>
                                    </w:rPr>
                                  </w:pPr>
                                  <w:r w:rsidRPr="005B3A12">
                                    <w:rPr>
                                      <w:b w:val="0"/>
                                      <w:sz w:val="28"/>
                                      <w:lang w:val="en-US"/>
                                    </w:rPr>
                                    <w:t xml:space="preserve">Edible </w:t>
                                  </w:r>
                                  <w:proofErr w:type="spellStart"/>
                                  <w:r w:rsidRPr="005B3A12">
                                    <w:rPr>
                                      <w:b w:val="0"/>
                                      <w:sz w:val="28"/>
                                      <w:lang w:val="en-US"/>
                                    </w:rPr>
                                    <w:t>sunflowerseed</w:t>
                                  </w:r>
                                  <w:proofErr w:type="spellEnd"/>
                                  <w:r w:rsidRPr="005B3A12">
                                    <w:rPr>
                                      <w:b w:val="0"/>
                                      <w:sz w:val="28"/>
                                      <w:lang w:val="en-US"/>
                                    </w:rPr>
                                    <w:t xml:space="preserve"> oil</w:t>
                                  </w:r>
                                </w:p>
                                <w:p w:rsidR="007A1BC7" w:rsidRDefault="007A1BC7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1BC7" w:rsidRDefault="007A1BC7" w:rsidP="00C8558D"/>
                          <w:p w:rsidR="007A1BC7" w:rsidRDefault="007A1BC7" w:rsidP="00C8558D"/>
                          <w:p w:rsidR="007A1BC7" w:rsidRDefault="007A1BC7" w:rsidP="00C8558D">
                            <w:pPr>
                              <w:pStyle w:val="DipnotMetni"/>
                            </w:pPr>
                          </w:p>
                          <w:p w:rsidR="007A1BC7" w:rsidRPr="00EA7868" w:rsidRDefault="007A1BC7" w:rsidP="0005492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:rsidR="007A1BC7" w:rsidRDefault="007A1BC7" w:rsidP="00C8558D"/>
                          <w:p w:rsidR="007A1BC7" w:rsidRDefault="007A1BC7" w:rsidP="00C8558D"/>
                          <w:p w:rsidR="007A1BC7" w:rsidRDefault="007A1BC7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p w:rsidR="007A1BC7" w:rsidRDefault="007A1BC7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p w:rsidR="00495F71" w:rsidRDefault="00495F71" w:rsidP="00C8558D">
                            <w:pPr>
                              <w:pStyle w:val="DipnotMetni"/>
                            </w:pPr>
                          </w:p>
                          <w:tbl>
                            <w:tblPr>
                              <w:tblW w:w="0" w:type="auto"/>
                              <w:tblInd w:w="752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7A1BC7" w:rsidRPr="00893889" w:rsidTr="00E12424">
                              <w:tc>
                                <w:tcPr>
                                  <w:tcW w:w="2268" w:type="dxa"/>
                                </w:tcPr>
                                <w:p w:rsidR="007A1BC7" w:rsidRPr="00893889" w:rsidRDefault="007A1BC7" w:rsidP="00893889">
                                  <w:pPr>
                                    <w:tabs>
                                      <w:tab w:val="left" w:pos="7371"/>
                                    </w:tabs>
                                    <w:ind w:left="409"/>
                                    <w:jc w:val="left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893889">
                                    <w:rPr>
                                      <w:b/>
                                    </w:rPr>
                                    <w:t>I. MÜTALAA</w:t>
                                  </w:r>
                                </w:p>
                              </w:tc>
                            </w:tr>
                            <w:tr w:rsidR="007A1BC7" w:rsidRPr="00893889" w:rsidTr="00E12424">
                              <w:tc>
                                <w:tcPr>
                                  <w:tcW w:w="2268" w:type="dxa"/>
                                </w:tcPr>
                                <w:p w:rsidR="007A1BC7" w:rsidRPr="00893889" w:rsidRDefault="007A1BC7" w:rsidP="00BE6209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Cs w:val="20"/>
                                    </w:rPr>
                                    <w:t>2014/99146</w:t>
                                  </w:r>
                                </w:p>
                              </w:tc>
                            </w:tr>
                          </w:tbl>
                          <w:p w:rsidR="007A1BC7" w:rsidRDefault="007A1BC7" w:rsidP="00C8558D">
                            <w:pPr>
                              <w:pStyle w:val="DipnotMetni"/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495F71" w:rsidRDefault="00495F71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495F71" w:rsidRDefault="00495F71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19"/>
                            </w:tblGrid>
                            <w:tr w:rsidR="007A1BC7" w:rsidTr="00E12424">
                              <w:tc>
                                <w:tcPr>
                                  <w:tcW w:w="7919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7A1BC7" w:rsidDel="008D3E45" w:rsidRDefault="007A1BC7" w:rsidP="00E12424">
                                  <w:pPr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 w:rsidRPr="00C20F86"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Pr="00893889" w:rsidRDefault="007A1BC7" w:rsidP="00893889">
                            <w:pPr>
                              <w:ind w:left="1701" w:right="506"/>
                              <w:jc w:val="left"/>
                              <w:rPr>
                                <w:b/>
                                <w:sz w:val="28"/>
                              </w:rPr>
                            </w:pPr>
                            <w:r w:rsidRPr="00893889"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7A1BC7" w:rsidRPr="00893889" w:rsidRDefault="007A1BC7" w:rsidP="00893889">
                            <w:pPr>
                              <w:ind w:left="1701" w:right="506"/>
                              <w:jc w:val="left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 w:rsidRPr="00893889">
                              <w:rPr>
                                <w:b/>
                                <w:sz w:val="28"/>
                              </w:rPr>
                              <w:t>Necatibey</w:t>
                            </w:r>
                            <w:proofErr w:type="spellEnd"/>
                            <w:r w:rsidRPr="00893889">
                              <w:rPr>
                                <w:b/>
                                <w:sz w:val="28"/>
                              </w:rPr>
                              <w:t xml:space="preserve"> Caddesi No.112 Bakanlıklar/ANKARA</w:t>
                            </w: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Pr="00297038" w:rsidRDefault="007A1BC7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7A1BC7" w:rsidRDefault="007A1BC7" w:rsidP="00C8558D"/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797"/>
                            </w:tblGrid>
                            <w:tr w:rsidR="007A1BC7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779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7A1BC7" w:rsidRDefault="007A1BC7">
                                  <w:pPr>
                                    <w:pStyle w:val="stbilgi"/>
                                    <w:tabs>
                                      <w:tab w:val="left" w:pos="7546"/>
                                    </w:tabs>
                                  </w:pPr>
                                </w:p>
                              </w:tc>
                            </w:tr>
                          </w:tbl>
                          <w:p w:rsidR="007A1BC7" w:rsidRDefault="007A1BC7" w:rsidP="00C8558D"/>
                          <w:p w:rsidR="007A1BC7" w:rsidRPr="00C8558D" w:rsidRDefault="007A1BC7" w:rsidP="00C8558D">
                            <w:pPr>
                              <w:pStyle w:val="Balk7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7A1BC7" w:rsidRPr="00C8558D" w:rsidRDefault="007A1BC7" w:rsidP="00C8558D">
                            <w:pPr>
                              <w:pStyle w:val="Balk4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Necatibey Caddesi No.112 Bakanlıklar/ANKARA</w:t>
                            </w:r>
                          </w:p>
                          <w:p w:rsidR="007A1BC7" w:rsidRDefault="007A1BC7" w:rsidP="00C8558D">
                            <w:pPr>
                              <w:pStyle w:val="stbilgi"/>
                              <w:ind w:left="170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25pt;margin-top:-34.9pt;width:514pt;height:7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H0OAIAAGMEAAAOAAAAZHJzL2Uyb0RvYy54bWysVNtu2zAMfR+wfxD0vtgxkqY14hRdugwD&#10;ugvQ7ANkWY6FSqImKbG7rx8lp6mx7WmYHwRRpI4OD0mvbwetyEk4L8FUdD7LKRGGQyPNoaLf97t3&#10;15T4wEzDFBhR0Wfh6e3m7Zt1b0tRQAeqEY4giPFlbyvahWDLLPO8E5r5GVhh0NmC0yyg6Q5Z41iP&#10;6FplRZ5fZT24xjrgwns8vR+ddJPw21bw8LVtvQhEVRS5hbS6tNZxzTZrVh4cs53kZxrsH1hoJg0+&#10;eoG6Z4GRo5N/QGnJHXhow4yDzqBtJRcpB8xmnv+WzWPHrEi5oDjeXmTy/w+Wfzl9c0Q2WDtKDNNY&#10;or0YAnkPAymiOr31JQY9WgwLAx7HyJiptw/AnzwxsO2YOYg756DvBGuQ3TzezCZXRxwfQer+MzT4&#10;DDsGSEBD63QERDEIomOVni+ViVQ4Hl4ti9V1ji6OvpvlIi8WqXYZK1+uW+fDRwGaxE1FHZY+wbPT&#10;gw+RDitfQhJ9ULLZSaWS4Q71VjlyYtgmu/SlDDDLaZgypK/ocjVfRibaomqhk2aPvfM0ajKN9lPQ&#10;PH1/A9Uy4AQoqSuKGeIXg1gZlfxgmrQPTKpxj0koc5Y2qjnqGoZ6wMCodw3NM4rsYOx0nEzcdOB+&#10;UtJjl1fU/zgyJyhRnwwW6ma+QCFJSMZiuSrQcFNPPfUwwxEKk6Zk3G7DOEpH6+Shw5fG1jBwh8Vt&#10;ZZL9ldWZN3ZyqsZ56uKoTO0U9fpv2PwCAAD//wMAUEsDBBQABgAIAAAAIQCUZIS03gAAAAwBAAAP&#10;AAAAZHJzL2Rvd25yZXYueG1sTI/NTsMwEITvSLyDtUjcWqd/oUnjVBUSHJFoOXB04iW2Gq+j2G3D&#10;27Oc4La782l2ptpPvhdXHKMLpGAxz0AgtcE46hR8nF5mWxAxaTK6D4QKvjHCvr6/q3Rpwo3e8XpM&#10;nWATiqVWYFMaSilja9HrOA8DEmtfYfQ68Tp20oz6xua+l8ssy6XXjviD1QM+W2zPx4tXcD60J9zI&#10;tC2se1s3n6+RJheVenyYDjsQCaf0B8NvfI4ONWdqwoVMFL2C2SrbMMpDXnAHJoriiS8No+vVMgdZ&#10;V/J/ifoHAAD//wMAUEsBAi0AFAAGAAgAAAAhALaDOJL+AAAA4QEAABMAAAAAAAAAAAAAAAAAAAAA&#10;AFtDb250ZW50X1R5cGVzXS54bWxQSwECLQAUAAYACAAAACEAOP0h/9YAAACUAQAACwAAAAAAAAAA&#10;AAAAAAAvAQAAX3JlbHMvLnJlbHNQSwECLQAUAAYACAAAACEAryGB9DgCAABjBAAADgAAAAAAAAAA&#10;AAAAAAAuAgAAZHJzL2Uyb0RvYy54bWxQSwECLQAUAAYACAAAACEAlGSEtN4AAAAMAQAADwAAAAAA&#10;AAAAAAAAAACSBAAAZHJzL2Rvd25yZXYueG1sUEsFBgAAAAAEAAQA8wAAAJ0FAAAAAA==&#10;" strokeweight="4.5pt">
                <v:stroke linestyle="thinThick"/>
                <v:textbox>
                  <w:txbxContent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r>
                        <w:rPr>
                          <w:b/>
                        </w:rPr>
                        <w:object w:dxaOrig="2101" w:dyaOrig="1201">
                          <v:shape id="_x0000_i1025" type="#_x0000_t75" style="width:98.45pt;height:60.9pt" o:ole="" fillcolor="window">
                            <v:imagedata r:id="rId7" o:title=""/>
                          </v:shape>
                          <o:OLEObject Type="Embed" ProgID="Word.Picture.8" ShapeID="_x0000_i1025" DrawAspect="Content" ObjectID="_1490534474" r:id="rId11"/>
                        </w:object>
                      </w:r>
                      <w:bookmarkStart w:id="2" w:name="_MON_1489592909"/>
                      <w:bookmarkEnd w:id="2"/>
                      <w:r w:rsidRPr="004D4888">
                        <w:rPr>
                          <w:rFonts w:cs="Arial"/>
                          <w:b/>
                        </w:rPr>
                        <w:object w:dxaOrig="5461" w:dyaOrig="1141">
                          <v:shape id="_x0000_i1026" type="#_x0000_t75" style="width:273.45pt;height:57.45pt" o:ole="" filled="t">
                            <v:fill color2="black"/>
                            <v:imagedata r:id="rId9" o:title=""/>
                          </v:shape>
                          <o:OLEObject Type="Embed" ProgID="Word.Picture.8" ShapeID="_x0000_i1026" DrawAspect="Content" ObjectID="_1490534475" r:id="rId12"/>
                        </w:object>
                      </w:r>
                    </w:p>
                    <w:p w:rsidR="007A1BC7" w:rsidRDefault="007A1BC7" w:rsidP="00C8558D"/>
                    <w:p w:rsidR="00495F71" w:rsidRDefault="00495F71" w:rsidP="00C8558D"/>
                    <w:p w:rsidR="00495F71" w:rsidRDefault="00495F71" w:rsidP="00C8558D"/>
                    <w:p w:rsidR="00495F71" w:rsidRDefault="00495F71" w:rsidP="00C8558D"/>
                    <w:tbl>
                      <w:tblPr>
                        <w:tblW w:w="0" w:type="auto"/>
                        <w:tblInd w:w="2943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663"/>
                      </w:tblGrid>
                      <w:tr w:rsidR="007A1BC7" w:rsidTr="00495F7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2"/>
                        </w:trPr>
                        <w:tc>
                          <w:tcPr>
                            <w:tcW w:w="6663" w:type="dxa"/>
                          </w:tcPr>
                          <w:p w:rsidR="007A1BC7" w:rsidRDefault="007A1BC7" w:rsidP="009C2FF7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b/>
                                <w:sz w:val="44"/>
                              </w:rPr>
                              <w:t xml:space="preserve"> 886 </w:t>
                            </w:r>
                          </w:p>
                        </w:tc>
                      </w:tr>
                      <w:tr w:rsidR="007A1BC7" w:rsidRPr="007862A3" w:rsidTr="00495F7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6663" w:type="dxa"/>
                          </w:tcPr>
                          <w:p w:rsidR="007A1BC7" w:rsidRPr="007862A3" w:rsidRDefault="007A1BC7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A1BC7" w:rsidTr="00495F7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6663" w:type="dxa"/>
                          </w:tcPr>
                          <w:p w:rsidR="007A1BC7" w:rsidRDefault="007A1BC7">
                            <w:pPr>
                              <w:jc w:val="right"/>
                            </w:pPr>
                          </w:p>
                        </w:tc>
                      </w:tr>
                      <w:tr w:rsidR="007A1BC7" w:rsidTr="00495F7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6663" w:type="dxa"/>
                          </w:tcPr>
                          <w:p w:rsidR="007A1BC7" w:rsidRDefault="007A1BC7">
                            <w:pPr>
                              <w:jc w:val="right"/>
                            </w:pPr>
                          </w:p>
                        </w:tc>
                      </w:tr>
                      <w:tr w:rsidR="007A1BC7" w:rsidTr="00495F7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6663" w:type="dxa"/>
                          </w:tcPr>
                          <w:p w:rsidR="007A1BC7" w:rsidRDefault="007A1BC7">
                            <w:pPr>
                              <w:jc w:val="right"/>
                            </w:pPr>
                          </w:p>
                        </w:tc>
                      </w:tr>
                      <w:tr w:rsidR="007A1BC7" w:rsidRPr="00C8558D" w:rsidTr="00495F7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6663" w:type="dxa"/>
                          </w:tcPr>
                          <w:p w:rsidR="007A1BC7" w:rsidRPr="00495F71" w:rsidRDefault="007A1BC7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</w:t>
                            </w:r>
                            <w:r w:rsidRPr="00BE6209">
                              <w:rPr>
                                <w:b/>
                                <w:sz w:val="24"/>
                              </w:rPr>
                              <w:t>ICS</w:t>
                            </w:r>
                            <w:r w:rsidRPr="00495F71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bookmarkStart w:id="3" w:name="_GoBack"/>
                            <w:r w:rsidRPr="00786D32">
                              <w:rPr>
                                <w:sz w:val="24"/>
                              </w:rPr>
                              <w:t>67.200.10</w:t>
                            </w:r>
                            <w:bookmarkEnd w:id="3"/>
                          </w:p>
                        </w:tc>
                      </w:tr>
                    </w:tbl>
                    <w:p w:rsidR="00495F71" w:rsidRDefault="00495F71" w:rsidP="00C8558D">
                      <w:pPr>
                        <w:rPr>
                          <w:rFonts w:cs="Arial"/>
                        </w:rPr>
                      </w:pPr>
                    </w:p>
                    <w:p w:rsidR="00495F71" w:rsidRDefault="00495F71" w:rsidP="00C8558D">
                      <w:pPr>
                        <w:rPr>
                          <w:rFonts w:cs="Arial"/>
                        </w:rPr>
                      </w:pPr>
                    </w:p>
                    <w:p w:rsidR="00495F71" w:rsidRDefault="00495F71" w:rsidP="00C8558D">
                      <w:pPr>
                        <w:rPr>
                          <w:rFonts w:cs="Arial"/>
                        </w:rPr>
                      </w:pPr>
                    </w:p>
                    <w:p w:rsidR="007A1BC7" w:rsidRPr="00495F71" w:rsidRDefault="007A1BC7" w:rsidP="00C8558D">
                      <w:pPr>
                        <w:rPr>
                          <w:b/>
                        </w:rPr>
                      </w:pPr>
                      <w:r>
                        <w:rPr>
                          <w:rFonts w:cs="Arial"/>
                        </w:rPr>
                        <w:t xml:space="preserve"> </w:t>
                      </w:r>
                      <w:r w:rsidR="00495F71">
                        <w:rPr>
                          <w:rFonts w:cs="Arial"/>
                        </w:rPr>
                        <w:tab/>
                      </w:r>
                      <w:r w:rsidR="00495F71" w:rsidRPr="00495F71">
                        <w:rPr>
                          <w:rFonts w:cs="Arial"/>
                          <w:b/>
                        </w:rPr>
                        <w:t xml:space="preserve">   </w:t>
                      </w:r>
                      <w:r w:rsidR="00C35CEC" w:rsidRPr="00495F71">
                        <w:rPr>
                          <w:rFonts w:cs="Arial"/>
                          <w:b/>
                        </w:rPr>
                        <w:t xml:space="preserve">            </w:t>
                      </w:r>
                      <w:r w:rsidRPr="00495F71">
                        <w:rPr>
                          <w:rFonts w:cs="Arial"/>
                          <w:b/>
                        </w:rPr>
                        <w:t>2. Baskı</w:t>
                      </w:r>
                      <w:r w:rsidRPr="00495F71" w:rsidDel="00893889">
                        <w:rPr>
                          <w:b/>
                        </w:rPr>
                        <w:t xml:space="preserve"> </w:t>
                      </w: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7A1BC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7A1BC7" w:rsidRDefault="007A1BC7"/>
                        </w:tc>
                      </w:tr>
                      <w:tr w:rsidR="007A1BC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7A1BC7" w:rsidRDefault="007A1BC7"/>
                        </w:tc>
                      </w:tr>
                      <w:tr w:rsidR="007A1BC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1485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7A1BC7" w:rsidRDefault="00495F71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YEMEKLİK AYÇİÇEK YAĞI</w:t>
                            </w:r>
                          </w:p>
                          <w:p w:rsidR="007A1BC7" w:rsidRDefault="007A1BC7" w:rsidP="00C8558D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7A1BC7" w:rsidRPr="005B3A12" w:rsidRDefault="007A1BC7" w:rsidP="00C8558D">
                            <w:pPr>
                              <w:pStyle w:val="Balk6"/>
                              <w:spacing w:before="0" w:after="0"/>
                              <w:rPr>
                                <w:b w:val="0"/>
                                <w:sz w:val="28"/>
                                <w:lang w:val="en-US"/>
                              </w:rPr>
                            </w:pPr>
                            <w:r w:rsidRPr="005B3A12">
                              <w:rPr>
                                <w:b w:val="0"/>
                                <w:sz w:val="28"/>
                                <w:lang w:val="en-US"/>
                              </w:rPr>
                              <w:t xml:space="preserve">Edible </w:t>
                            </w:r>
                            <w:proofErr w:type="spellStart"/>
                            <w:r w:rsidRPr="005B3A12">
                              <w:rPr>
                                <w:b w:val="0"/>
                                <w:sz w:val="28"/>
                                <w:lang w:val="en-US"/>
                              </w:rPr>
                              <w:t>sunflowerseed</w:t>
                            </w:r>
                            <w:proofErr w:type="spellEnd"/>
                            <w:r w:rsidRPr="005B3A12">
                              <w:rPr>
                                <w:b w:val="0"/>
                                <w:sz w:val="28"/>
                                <w:lang w:val="en-US"/>
                              </w:rPr>
                              <w:t xml:space="preserve"> oil</w:t>
                            </w:r>
                          </w:p>
                          <w:p w:rsidR="007A1BC7" w:rsidRDefault="007A1BC7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7A1BC7" w:rsidRDefault="007A1BC7" w:rsidP="00C8558D"/>
                    <w:p w:rsidR="007A1BC7" w:rsidRDefault="007A1BC7" w:rsidP="00C8558D"/>
                    <w:p w:rsidR="007A1BC7" w:rsidRDefault="007A1BC7" w:rsidP="00C8558D">
                      <w:pPr>
                        <w:pStyle w:val="DipnotMetni"/>
                      </w:pPr>
                    </w:p>
                    <w:p w:rsidR="007A1BC7" w:rsidRPr="00EA7868" w:rsidRDefault="007A1BC7" w:rsidP="0005492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szCs w:val="20"/>
                        </w:rPr>
                      </w:pPr>
                    </w:p>
                    <w:p w:rsidR="007A1BC7" w:rsidRDefault="007A1BC7" w:rsidP="00C8558D"/>
                    <w:p w:rsidR="007A1BC7" w:rsidRDefault="007A1BC7" w:rsidP="00C8558D"/>
                    <w:p w:rsidR="007A1BC7" w:rsidRDefault="007A1BC7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p w:rsidR="007A1BC7" w:rsidRDefault="007A1BC7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p w:rsidR="00495F71" w:rsidRDefault="00495F71" w:rsidP="00C8558D">
                      <w:pPr>
                        <w:pStyle w:val="DipnotMetni"/>
                      </w:pPr>
                    </w:p>
                    <w:tbl>
                      <w:tblPr>
                        <w:tblW w:w="0" w:type="auto"/>
                        <w:tblInd w:w="752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7A1BC7" w:rsidRPr="00893889" w:rsidTr="00E12424">
                        <w:tc>
                          <w:tcPr>
                            <w:tcW w:w="2268" w:type="dxa"/>
                          </w:tcPr>
                          <w:p w:rsidR="007A1BC7" w:rsidRPr="00893889" w:rsidRDefault="007A1BC7" w:rsidP="00893889">
                            <w:pPr>
                              <w:tabs>
                                <w:tab w:val="left" w:pos="7371"/>
                              </w:tabs>
                              <w:ind w:left="409"/>
                              <w:jc w:val="left"/>
                              <w:rPr>
                                <w:b/>
                                <w:szCs w:val="20"/>
                              </w:rPr>
                            </w:pPr>
                            <w:r w:rsidRPr="00893889">
                              <w:rPr>
                                <w:b/>
                              </w:rPr>
                              <w:t>I. MÜTALAA</w:t>
                            </w:r>
                          </w:p>
                        </w:tc>
                      </w:tr>
                      <w:tr w:rsidR="007A1BC7" w:rsidRPr="00893889" w:rsidTr="00E12424">
                        <w:tc>
                          <w:tcPr>
                            <w:tcW w:w="2268" w:type="dxa"/>
                          </w:tcPr>
                          <w:p w:rsidR="007A1BC7" w:rsidRPr="00893889" w:rsidRDefault="007A1BC7" w:rsidP="00BE6209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2014/99146</w:t>
                            </w:r>
                          </w:p>
                        </w:tc>
                      </w:tr>
                    </w:tbl>
                    <w:p w:rsidR="007A1BC7" w:rsidRDefault="007A1BC7" w:rsidP="00C8558D">
                      <w:pPr>
                        <w:pStyle w:val="DipnotMetni"/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495F71" w:rsidRDefault="00495F71" w:rsidP="00C8558D">
                      <w:pPr>
                        <w:rPr>
                          <w:b/>
                        </w:rPr>
                      </w:pPr>
                    </w:p>
                    <w:p w:rsidR="00495F71" w:rsidRDefault="00495F71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19"/>
                      </w:tblGrid>
                      <w:tr w:rsidR="007A1BC7" w:rsidTr="00E12424">
                        <w:tc>
                          <w:tcPr>
                            <w:tcW w:w="7919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7A1BC7" w:rsidDel="008D3E45" w:rsidRDefault="007A1BC7" w:rsidP="00E12424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C20F86"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Pr="00893889" w:rsidRDefault="007A1BC7" w:rsidP="00893889">
                      <w:pPr>
                        <w:ind w:left="1701" w:right="506"/>
                        <w:jc w:val="left"/>
                        <w:rPr>
                          <w:b/>
                          <w:sz w:val="28"/>
                        </w:rPr>
                      </w:pPr>
                      <w:r w:rsidRPr="00893889"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7A1BC7" w:rsidRPr="00893889" w:rsidRDefault="007A1BC7" w:rsidP="00893889">
                      <w:pPr>
                        <w:ind w:left="1701" w:right="506"/>
                        <w:jc w:val="left"/>
                        <w:rPr>
                          <w:b/>
                          <w:sz w:val="28"/>
                        </w:rPr>
                      </w:pPr>
                      <w:proofErr w:type="spellStart"/>
                      <w:r w:rsidRPr="00893889">
                        <w:rPr>
                          <w:b/>
                          <w:sz w:val="28"/>
                        </w:rPr>
                        <w:t>Necatibey</w:t>
                      </w:r>
                      <w:proofErr w:type="spellEnd"/>
                      <w:r w:rsidRPr="00893889">
                        <w:rPr>
                          <w:b/>
                          <w:sz w:val="28"/>
                        </w:rPr>
                        <w:t xml:space="preserve"> Caddesi No.112 Bakanlıklar/ANKARA</w:t>
                      </w: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Pr="00297038" w:rsidRDefault="007A1BC7" w:rsidP="00C8558D">
                      <w:pPr>
                        <w:rPr>
                          <w:b/>
                        </w:rPr>
                      </w:pPr>
                    </w:p>
                    <w:p w:rsidR="007A1BC7" w:rsidRDefault="007A1BC7" w:rsidP="00C8558D"/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797"/>
                      </w:tblGrid>
                      <w:tr w:rsidR="007A1BC7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779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7A1BC7" w:rsidRDefault="007A1BC7">
                            <w:pPr>
                              <w:pStyle w:val="stbilgi"/>
                              <w:tabs>
                                <w:tab w:val="left" w:pos="7546"/>
                              </w:tabs>
                            </w:pPr>
                          </w:p>
                        </w:tc>
                      </w:tr>
                    </w:tbl>
                    <w:p w:rsidR="007A1BC7" w:rsidRDefault="007A1BC7" w:rsidP="00C8558D"/>
                    <w:p w:rsidR="007A1BC7" w:rsidRPr="00C8558D" w:rsidRDefault="007A1BC7" w:rsidP="00C8558D">
                      <w:pPr>
                        <w:pStyle w:val="Balk7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7A1BC7" w:rsidRPr="00C8558D" w:rsidRDefault="007A1BC7" w:rsidP="00C8558D">
                      <w:pPr>
                        <w:pStyle w:val="Balk4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Necatibey Caddesi No.112 Bakanlıklar/ANKARA</w:t>
                      </w:r>
                    </w:p>
                    <w:p w:rsidR="007A1BC7" w:rsidRDefault="007A1BC7" w:rsidP="00C8558D">
                      <w:pPr>
                        <w:pStyle w:val="stbilgi"/>
                        <w:ind w:left="1701"/>
                      </w:pPr>
                    </w:p>
                  </w:txbxContent>
                </v:textbox>
              </v:shape>
            </w:pict>
          </mc:Fallback>
        </mc:AlternateContent>
      </w: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A85714" w:rsidRDefault="00A85714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A85714" w:rsidRPr="00A85714" w:rsidRDefault="00A85714" w:rsidP="00A85714">
      <w:pPr>
        <w:jc w:val="center"/>
        <w:rPr>
          <w:b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br w:type="page"/>
      </w:r>
      <w:r w:rsidRPr="00A85714">
        <w:rPr>
          <w:b/>
          <w:sz w:val="28"/>
          <w:szCs w:val="28"/>
        </w:rPr>
        <w:lastRenderedPageBreak/>
        <w:t>Ön söz</w:t>
      </w:r>
    </w:p>
    <w:p w:rsidR="00A85714" w:rsidRPr="00A85714" w:rsidRDefault="00A85714" w:rsidP="00A85714"/>
    <w:p w:rsidR="00A85714" w:rsidRPr="00A85714" w:rsidRDefault="00A85714" w:rsidP="00495F71">
      <w:pPr>
        <w:numPr>
          <w:ilvl w:val="0"/>
          <w:numId w:val="29"/>
        </w:numPr>
      </w:pPr>
      <w:r w:rsidRPr="00A85714">
        <w:t xml:space="preserve">Bu </w:t>
      </w:r>
      <w:proofErr w:type="spellStart"/>
      <w:r w:rsidRPr="00A85714">
        <w:t>standard</w:t>
      </w:r>
      <w:proofErr w:type="spellEnd"/>
      <w:r w:rsidRPr="00A85714">
        <w:t xml:space="preserve">, </w:t>
      </w:r>
      <w:r w:rsidRPr="00A85714">
        <w:rPr>
          <w:lang w:val="sv-SE"/>
        </w:rPr>
        <w:t>Türk Standardları Enstitüsü</w:t>
      </w:r>
      <w:r w:rsidRPr="00A85714">
        <w:t xml:space="preserve"> </w:t>
      </w:r>
      <w:r w:rsidRPr="00A85714">
        <w:rPr>
          <w:lang w:val="sv-SE"/>
        </w:rPr>
        <w:t xml:space="preserve">Gıda, Tarım ve Hayvancılık İhtisas Kurulu’na bağlı TK24 </w:t>
      </w:r>
      <w:r w:rsidRPr="00A85714">
        <w:t>Gıda Teknik Komitesi’nce hazırlanmış, TSE Teknik Kurulu’nun 0</w:t>
      </w:r>
      <w:r>
        <w:t>9</w:t>
      </w:r>
      <w:r w:rsidRPr="00A85714">
        <w:t xml:space="preserve"> </w:t>
      </w:r>
      <w:r>
        <w:t>Kasım 2010</w:t>
      </w:r>
      <w:r w:rsidRPr="00A85714">
        <w:t xml:space="preserve"> tarihli toplantısında Türk Standardı olarak kabul edilmiş ve </w:t>
      </w:r>
      <w:proofErr w:type="gramStart"/>
      <w:r w:rsidRPr="00A85714">
        <w:t>……….</w:t>
      </w:r>
      <w:proofErr w:type="gramEnd"/>
      <w:r w:rsidRPr="00A85714">
        <w:t xml:space="preserve"> </w:t>
      </w:r>
      <w:proofErr w:type="gramStart"/>
      <w:r w:rsidRPr="00A85714">
        <w:t>tarihli</w:t>
      </w:r>
      <w:proofErr w:type="gramEnd"/>
      <w:r w:rsidRPr="00A85714">
        <w:t xml:space="preserve"> Teknik Kurul toplantısında tadil edilerek ikinci baskı olarak yayımına karar verilmiştir.</w:t>
      </w: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3604F4" w:rsidRDefault="003604F4">
      <w:pPr>
        <w:sectPr w:rsidR="003604F4" w:rsidSect="00C8558D">
          <w:headerReference w:type="even" r:id="rId13"/>
          <w:headerReference w:type="default" r:id="rId14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360"/>
        </w:sectPr>
      </w:pPr>
    </w:p>
    <w:p w:rsidR="004F4747" w:rsidRPr="00BA6849" w:rsidRDefault="004F4747" w:rsidP="004F4747">
      <w:pPr>
        <w:jc w:val="center"/>
        <w:rPr>
          <w:b/>
          <w:sz w:val="28"/>
          <w:szCs w:val="28"/>
        </w:rPr>
      </w:pPr>
      <w:r w:rsidRPr="00BA6849">
        <w:rPr>
          <w:b/>
          <w:sz w:val="28"/>
          <w:szCs w:val="28"/>
        </w:rPr>
        <w:t>İçindekiler</w:t>
      </w:r>
    </w:p>
    <w:p w:rsidR="004F4747" w:rsidRDefault="004F4747" w:rsidP="004F4747">
      <w:pPr>
        <w:jc w:val="left"/>
      </w:pPr>
    </w:p>
    <w:p w:rsidR="004A5014" w:rsidRPr="00D52B16" w:rsidRDefault="00133C0C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>
        <w:fldChar w:fldCharType="begin"/>
      </w:r>
      <w:r w:rsidRPr="00E733CB">
        <w:rPr>
          <w:lang w:val="tr-TR"/>
        </w:rPr>
        <w:instrText xml:space="preserve"> TOC \o "1-2" \u </w:instrText>
      </w:r>
      <w:r>
        <w:fldChar w:fldCharType="separate"/>
      </w:r>
      <w:r w:rsidR="004A5014" w:rsidRPr="00D635E5">
        <w:rPr>
          <w:noProof/>
          <w:lang w:val="tr-TR"/>
        </w:rPr>
        <w:t>1</w:t>
      </w:r>
      <w:r w:rsidR="004A5014" w:rsidRPr="00D52B16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="004A5014" w:rsidRPr="00D635E5">
        <w:rPr>
          <w:noProof/>
          <w:lang w:val="tr-TR"/>
        </w:rPr>
        <w:t>Kapsam</w:t>
      </w:r>
      <w:r w:rsidR="004A5014">
        <w:rPr>
          <w:noProof/>
        </w:rPr>
        <w:tab/>
      </w:r>
      <w:r w:rsidR="004A5014">
        <w:rPr>
          <w:noProof/>
        </w:rPr>
        <w:fldChar w:fldCharType="begin"/>
      </w:r>
      <w:r w:rsidR="004A5014">
        <w:rPr>
          <w:noProof/>
        </w:rPr>
        <w:instrText xml:space="preserve"> PAGEREF _Toc415903841 \h </w:instrText>
      </w:r>
      <w:r w:rsidR="004A5014">
        <w:rPr>
          <w:noProof/>
        </w:rPr>
      </w:r>
      <w:r w:rsidR="004A5014">
        <w:rPr>
          <w:noProof/>
        </w:rPr>
        <w:fldChar w:fldCharType="separate"/>
      </w:r>
      <w:r w:rsidR="00786D32">
        <w:rPr>
          <w:noProof/>
        </w:rPr>
        <w:t>1</w:t>
      </w:r>
      <w:r w:rsidR="004A5014">
        <w:rPr>
          <w:noProof/>
        </w:rPr>
        <w:fldChar w:fldCharType="end"/>
      </w:r>
    </w:p>
    <w:p w:rsidR="004A5014" w:rsidRPr="00D52B16" w:rsidRDefault="004A5014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D635E5">
        <w:rPr>
          <w:noProof/>
          <w:lang w:val="de-DE"/>
        </w:rPr>
        <w:t>2</w:t>
      </w:r>
      <w:r w:rsidRPr="00D52B16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D635E5">
        <w:rPr>
          <w:rFonts w:eastAsia="SimSun" w:cs="Times New Roman"/>
          <w:noProof/>
          <w:lang w:val="en-US"/>
        </w:rPr>
        <w:t>Atıf yapılan standard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_Toc415903842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1</w:t>
      </w:r>
      <w:r>
        <w:rPr>
          <w:noProof/>
        </w:rPr>
        <w:fldChar w:fldCharType="end"/>
      </w:r>
    </w:p>
    <w:p w:rsidR="004A5014" w:rsidRPr="00D52B16" w:rsidRDefault="004A5014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D635E5">
        <w:rPr>
          <w:noProof/>
          <w:lang w:val="tr-TR"/>
        </w:rPr>
        <w:t>3</w:t>
      </w:r>
      <w:r w:rsidRPr="00D52B16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D635E5">
        <w:rPr>
          <w:noProof/>
          <w:lang w:val="tr-TR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_Toc415903843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2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 xml:space="preserve">3.1 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Yemeklik ayçiçek 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_Toc415903844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2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>3.2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_Toc415903845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2</w:t>
      </w:r>
      <w:r>
        <w:rPr>
          <w:noProof/>
        </w:rPr>
        <w:fldChar w:fldCharType="end"/>
      </w:r>
    </w:p>
    <w:p w:rsidR="004A5014" w:rsidRPr="00D52B16" w:rsidRDefault="004A5014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D635E5">
        <w:rPr>
          <w:noProof/>
          <w:snapToGrid w:val="0"/>
          <w:lang w:val="tr-TR"/>
        </w:rPr>
        <w:t>4</w:t>
      </w:r>
      <w:r w:rsidRPr="00D52B16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D635E5">
        <w:rPr>
          <w:noProof/>
          <w:snapToGrid w:val="0"/>
          <w:lang w:val="tr-TR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_Toc415903846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2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>4.1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_Toc415903847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2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noProof/>
          <w:lang w:val="tr-TR"/>
        </w:rPr>
        <w:t>4.2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noProof/>
          <w:lang w:val="tr-TR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_Toc415903848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2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noProof/>
          <w:lang w:val="tr-TR"/>
        </w:rPr>
        <w:t xml:space="preserve">4.3 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noProof/>
          <w:lang w:val="tr-TR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_Toc415903849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3</w:t>
      </w:r>
      <w:r>
        <w:rPr>
          <w:noProof/>
        </w:rPr>
        <w:fldChar w:fldCharType="end"/>
      </w:r>
    </w:p>
    <w:p w:rsidR="004A5014" w:rsidRPr="00D52B16" w:rsidRDefault="004A5014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D635E5">
        <w:rPr>
          <w:noProof/>
          <w:snapToGrid w:val="0"/>
        </w:rPr>
        <w:t>5</w:t>
      </w:r>
      <w:r w:rsidRPr="00D52B16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D635E5">
        <w:rPr>
          <w:noProof/>
          <w:snapToGrid w:val="0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_Toc415903850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4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>5.1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_Toc415903851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4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>5.2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_Toc415903852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4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>5.3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_Toc415903853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4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>5.4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_Toc415903854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5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>5.5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_Toc415903855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5</w:t>
      </w:r>
      <w:r>
        <w:rPr>
          <w:noProof/>
        </w:rPr>
        <w:fldChar w:fldCharType="end"/>
      </w:r>
    </w:p>
    <w:p w:rsidR="004A5014" w:rsidRPr="00D52B16" w:rsidRDefault="004A5014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D635E5">
        <w:rPr>
          <w:noProof/>
          <w:snapToGrid w:val="0"/>
          <w:lang w:val="tr-TR"/>
        </w:rPr>
        <w:t>6</w:t>
      </w:r>
      <w:r w:rsidRPr="00D52B16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D635E5">
        <w:rPr>
          <w:noProof/>
          <w:snapToGrid w:val="0"/>
          <w:lang w:val="tr-TR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_Toc415903856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5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>6.1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_Toc415903857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5</w:t>
      </w:r>
      <w:r>
        <w:rPr>
          <w:noProof/>
        </w:rPr>
        <w:fldChar w:fldCharType="end"/>
      </w:r>
    </w:p>
    <w:p w:rsidR="004A5014" w:rsidRPr="00D52B16" w:rsidRDefault="004A5014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D635E5">
        <w:rPr>
          <w:rFonts w:cs="Arial"/>
          <w:noProof/>
          <w:lang w:val="tr-TR"/>
        </w:rPr>
        <w:t>6.2</w:t>
      </w:r>
      <w:r w:rsidRPr="00D52B16">
        <w:rPr>
          <w:rFonts w:ascii="Calibri" w:hAnsi="Calibri"/>
          <w:noProof/>
          <w:sz w:val="22"/>
          <w:szCs w:val="22"/>
          <w:lang w:val="tr-TR"/>
        </w:rPr>
        <w:tab/>
      </w:r>
      <w:r w:rsidRPr="00D635E5">
        <w:rPr>
          <w:rFonts w:cs="Arial"/>
          <w:noProof/>
          <w:lang w:val="tr-TR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_Toc415903858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5</w:t>
      </w:r>
      <w:r>
        <w:rPr>
          <w:noProof/>
        </w:rPr>
        <w:fldChar w:fldCharType="end"/>
      </w:r>
    </w:p>
    <w:p w:rsidR="004A5014" w:rsidRPr="00D52B16" w:rsidRDefault="004A5014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D635E5">
        <w:rPr>
          <w:noProof/>
          <w:lang w:val="tr-TR"/>
        </w:rPr>
        <w:t>7</w:t>
      </w:r>
      <w:r w:rsidRPr="00D52B16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D635E5">
        <w:rPr>
          <w:noProof/>
          <w:lang w:val="tr-TR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_Toc415903859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5</w:t>
      </w:r>
      <w:r>
        <w:rPr>
          <w:noProof/>
        </w:rPr>
        <w:fldChar w:fldCharType="end"/>
      </w:r>
    </w:p>
    <w:p w:rsidR="004A5014" w:rsidRPr="00D52B16" w:rsidRDefault="004A5014">
      <w:pPr>
        <w:pStyle w:val="T1"/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>
        <w:rPr>
          <w:noProof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_Toc415903860 \h </w:instrText>
      </w:r>
      <w:r>
        <w:rPr>
          <w:noProof/>
        </w:rPr>
      </w:r>
      <w:r>
        <w:rPr>
          <w:noProof/>
        </w:rPr>
        <w:fldChar w:fldCharType="separate"/>
      </w:r>
      <w:r w:rsidR="00786D32">
        <w:rPr>
          <w:noProof/>
        </w:rPr>
        <w:t>6</w:t>
      </w:r>
      <w:r>
        <w:rPr>
          <w:noProof/>
        </w:rPr>
        <w:fldChar w:fldCharType="end"/>
      </w:r>
    </w:p>
    <w:p w:rsidR="00133C0C" w:rsidRDefault="00133C0C" w:rsidP="004F4747">
      <w:pPr>
        <w:jc w:val="left"/>
      </w:pPr>
      <w:r>
        <w:fldChar w:fldCharType="end"/>
      </w:r>
    </w:p>
    <w:p w:rsidR="00133C0C" w:rsidRDefault="00133C0C" w:rsidP="004F4747">
      <w:pPr>
        <w:jc w:val="left"/>
      </w:pPr>
    </w:p>
    <w:p w:rsidR="00133C0C" w:rsidRDefault="00133C0C" w:rsidP="004F4747">
      <w:pPr>
        <w:jc w:val="left"/>
        <w:sectPr w:rsidR="00133C0C" w:rsidSect="00EB4AD6">
          <w:headerReference w:type="even" r:id="rId15"/>
          <w:headerReference w:type="default" r:id="rId16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360"/>
        </w:sectPr>
      </w:pPr>
    </w:p>
    <w:p w:rsidR="00C8558D" w:rsidRDefault="00C8558D" w:rsidP="00C8558D">
      <w:pPr>
        <w:tabs>
          <w:tab w:val="left" w:pos="1920"/>
        </w:tabs>
        <w:jc w:val="center"/>
        <w:rPr>
          <w:rFonts w:cs="Arial"/>
          <w:b/>
          <w:bCs/>
          <w:color w:val="000000"/>
          <w:sz w:val="28"/>
        </w:rPr>
      </w:pPr>
      <w:r>
        <w:rPr>
          <w:rFonts w:cs="Arial"/>
          <w:b/>
          <w:bCs/>
          <w:color w:val="000000"/>
          <w:sz w:val="28"/>
        </w:rPr>
        <w:t xml:space="preserve">Yemeklik </w:t>
      </w:r>
      <w:proofErr w:type="spellStart"/>
      <w:r w:rsidR="00CD34CE">
        <w:rPr>
          <w:rFonts w:cs="Arial"/>
          <w:b/>
          <w:bCs/>
          <w:color w:val="000000"/>
          <w:sz w:val="28"/>
        </w:rPr>
        <w:t>a</w:t>
      </w:r>
      <w:r w:rsidR="003014E0">
        <w:rPr>
          <w:rFonts w:cs="Arial"/>
          <w:b/>
          <w:bCs/>
          <w:color w:val="000000"/>
          <w:sz w:val="28"/>
        </w:rPr>
        <w:t>yçiçek</w:t>
      </w:r>
      <w:proofErr w:type="spellEnd"/>
      <w:r w:rsidR="00566D88">
        <w:rPr>
          <w:rFonts w:cs="Arial"/>
          <w:b/>
          <w:bCs/>
          <w:color w:val="000000"/>
          <w:sz w:val="28"/>
        </w:rPr>
        <w:t xml:space="preserve"> </w:t>
      </w:r>
      <w:r w:rsidR="00CD34CE">
        <w:rPr>
          <w:rFonts w:cs="Arial"/>
          <w:b/>
          <w:bCs/>
          <w:color w:val="000000"/>
          <w:sz w:val="28"/>
        </w:rPr>
        <w:t>y</w:t>
      </w:r>
      <w:r>
        <w:rPr>
          <w:rFonts w:cs="Arial"/>
          <w:b/>
          <w:bCs/>
          <w:color w:val="000000"/>
          <w:sz w:val="28"/>
        </w:rPr>
        <w:t>ağı</w:t>
      </w:r>
    </w:p>
    <w:p w:rsidR="00C8558D" w:rsidRDefault="00C8558D" w:rsidP="00CD3E20">
      <w:pPr>
        <w:tabs>
          <w:tab w:val="left" w:pos="1920"/>
        </w:tabs>
        <w:rPr>
          <w:rFonts w:cs="Arial"/>
          <w:b/>
          <w:bCs/>
          <w:color w:val="000000"/>
          <w:sz w:val="12"/>
          <w:szCs w:val="12"/>
        </w:rPr>
      </w:pPr>
    </w:p>
    <w:p w:rsidR="00CD3E20" w:rsidRPr="00133C0C" w:rsidRDefault="00CD3E20" w:rsidP="00CD3E20">
      <w:pPr>
        <w:pBdr>
          <w:top w:val="single" w:sz="4" w:space="1" w:color="auto"/>
        </w:pBdr>
        <w:tabs>
          <w:tab w:val="left" w:pos="1920"/>
        </w:tabs>
        <w:rPr>
          <w:rFonts w:cs="Arial"/>
          <w:b/>
          <w:bCs/>
          <w:color w:val="000000"/>
          <w:sz w:val="12"/>
          <w:szCs w:val="12"/>
        </w:rPr>
      </w:pPr>
    </w:p>
    <w:p w:rsidR="00C8558D" w:rsidRPr="00DB4DD3" w:rsidRDefault="00873BB1" w:rsidP="004F4747">
      <w:pPr>
        <w:pStyle w:val="Balk1"/>
        <w:rPr>
          <w:szCs w:val="24"/>
          <w:lang w:val="tr-TR"/>
        </w:rPr>
      </w:pPr>
      <w:bookmarkStart w:id="4" w:name="_Toc249189865"/>
      <w:bookmarkStart w:id="5" w:name="_Toc415903841"/>
      <w:r w:rsidRPr="00DB4DD3">
        <w:rPr>
          <w:szCs w:val="24"/>
          <w:lang w:val="tr-TR"/>
        </w:rPr>
        <w:t>1</w:t>
      </w:r>
      <w:r w:rsidR="00566D88" w:rsidRPr="00DB4DD3">
        <w:rPr>
          <w:lang w:val="tr-TR"/>
        </w:rPr>
        <w:tab/>
      </w:r>
      <w:r w:rsidRPr="00DB4DD3">
        <w:rPr>
          <w:szCs w:val="24"/>
          <w:lang w:val="tr-TR"/>
        </w:rPr>
        <w:t>Kapsam</w:t>
      </w:r>
      <w:bookmarkEnd w:id="4"/>
      <w:bookmarkEnd w:id="5"/>
    </w:p>
    <w:p w:rsidR="00F07753" w:rsidRDefault="00873BB1" w:rsidP="00495F71">
      <w:pPr>
        <w:autoSpaceDE w:val="0"/>
        <w:autoSpaceDN w:val="0"/>
        <w:adjustRightInd w:val="0"/>
        <w:rPr>
          <w:rFonts w:cs="Arial"/>
          <w:szCs w:val="20"/>
        </w:rPr>
      </w:pPr>
      <w:r w:rsidRPr="00CD34CE">
        <w:rPr>
          <w:rFonts w:cs="Arial"/>
          <w:szCs w:val="20"/>
        </w:rPr>
        <w:t xml:space="preserve">Bu </w:t>
      </w:r>
      <w:proofErr w:type="spellStart"/>
      <w:r w:rsidRPr="00CD34CE">
        <w:rPr>
          <w:rFonts w:cs="Arial"/>
          <w:szCs w:val="20"/>
        </w:rPr>
        <w:t>standar</w:t>
      </w:r>
      <w:r w:rsidR="00AB4543" w:rsidRPr="00CD34CE">
        <w:rPr>
          <w:rFonts w:cs="Arial"/>
          <w:szCs w:val="20"/>
        </w:rPr>
        <w:t>d</w:t>
      </w:r>
      <w:proofErr w:type="spellEnd"/>
      <w:r w:rsidR="00215B91" w:rsidRPr="00CD34CE">
        <w:rPr>
          <w:rFonts w:cs="Arial"/>
          <w:szCs w:val="20"/>
        </w:rPr>
        <w:t xml:space="preserve"> </w:t>
      </w:r>
      <w:r w:rsidRPr="00CD34CE">
        <w:rPr>
          <w:rFonts w:cs="Arial"/>
          <w:szCs w:val="20"/>
        </w:rPr>
        <w:t xml:space="preserve">yemeklik </w:t>
      </w:r>
      <w:proofErr w:type="spellStart"/>
      <w:r w:rsidR="003014E0" w:rsidRPr="00CD34CE">
        <w:rPr>
          <w:rFonts w:cs="Arial"/>
          <w:szCs w:val="20"/>
        </w:rPr>
        <w:t>ayçiçek</w:t>
      </w:r>
      <w:proofErr w:type="spellEnd"/>
      <w:r w:rsidRPr="00CD34CE">
        <w:rPr>
          <w:rFonts w:cs="Arial"/>
          <w:szCs w:val="20"/>
        </w:rPr>
        <w:t xml:space="preserve"> yağını kapsar</w:t>
      </w:r>
      <w:r w:rsidR="00F07753">
        <w:rPr>
          <w:rFonts w:cs="Arial"/>
          <w:szCs w:val="20"/>
        </w:rPr>
        <w:t>.</w:t>
      </w:r>
    </w:p>
    <w:p w:rsidR="00F07753" w:rsidRDefault="00F07753" w:rsidP="00495F71">
      <w:pPr>
        <w:autoSpaceDE w:val="0"/>
        <w:autoSpaceDN w:val="0"/>
        <w:adjustRightInd w:val="0"/>
        <w:rPr>
          <w:rFonts w:cs="Arial"/>
          <w:szCs w:val="20"/>
        </w:rPr>
      </w:pPr>
    </w:p>
    <w:p w:rsidR="00170D08" w:rsidRPr="00495F71" w:rsidRDefault="00786D32" w:rsidP="00786D32">
      <w:pPr>
        <w:autoSpaceDE w:val="0"/>
        <w:autoSpaceDN w:val="0"/>
        <w:adjustRightInd w:val="0"/>
        <w:ind w:left="567" w:hanging="567"/>
        <w:rPr>
          <w:rFonts w:cs="Arial"/>
          <w:szCs w:val="20"/>
        </w:rPr>
      </w:pPr>
      <w:r>
        <w:rPr>
          <w:rFonts w:cs="Arial"/>
          <w:b/>
          <w:szCs w:val="20"/>
        </w:rPr>
        <w:t>Not -</w:t>
      </w:r>
      <w:r w:rsidR="00F07753" w:rsidRPr="00495F7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ab/>
      </w:r>
      <w:r w:rsidR="00170D08" w:rsidRPr="00C35CEC">
        <w:rPr>
          <w:rFonts w:cs="Arial"/>
          <w:szCs w:val="20"/>
        </w:rPr>
        <w:t xml:space="preserve">Bu </w:t>
      </w:r>
      <w:proofErr w:type="spellStart"/>
      <w:r w:rsidR="00170D08" w:rsidRPr="00C35CEC">
        <w:rPr>
          <w:rFonts w:cs="Arial"/>
          <w:szCs w:val="20"/>
        </w:rPr>
        <w:t>standard</w:t>
      </w:r>
      <w:proofErr w:type="spellEnd"/>
      <w:r w:rsidR="00170D08" w:rsidRPr="00C35CEC">
        <w:rPr>
          <w:rFonts w:cs="Arial"/>
          <w:szCs w:val="20"/>
        </w:rPr>
        <w:t xml:space="preserve"> metninde bundan sonra “yemeklik </w:t>
      </w:r>
      <w:r w:rsidR="00A5530E" w:rsidRPr="001C58E4">
        <w:rPr>
          <w:rFonts w:cs="Arial"/>
          <w:szCs w:val="20"/>
        </w:rPr>
        <w:t xml:space="preserve">Ayçiçek </w:t>
      </w:r>
      <w:proofErr w:type="spellStart"/>
      <w:r w:rsidR="00170D08" w:rsidRPr="00495F71">
        <w:rPr>
          <w:rFonts w:cs="Arial"/>
          <w:szCs w:val="20"/>
        </w:rPr>
        <w:t>yağı”terimi</w:t>
      </w:r>
      <w:proofErr w:type="spellEnd"/>
      <w:r w:rsidR="00170D08" w:rsidRPr="00495F71">
        <w:rPr>
          <w:rFonts w:cs="Arial"/>
          <w:szCs w:val="20"/>
        </w:rPr>
        <w:t xml:space="preserve"> yerine “</w:t>
      </w:r>
      <w:proofErr w:type="spellStart"/>
      <w:r w:rsidR="00170D08" w:rsidRPr="00495F71">
        <w:rPr>
          <w:rFonts w:cs="Arial"/>
          <w:szCs w:val="20"/>
        </w:rPr>
        <w:t>ayçiçek</w:t>
      </w:r>
      <w:proofErr w:type="spellEnd"/>
      <w:r w:rsidR="00170D08" w:rsidRPr="00495F71">
        <w:rPr>
          <w:rFonts w:cs="Arial"/>
          <w:szCs w:val="20"/>
        </w:rPr>
        <w:t xml:space="preserve"> yağı” terimi kullanılmıştır.</w:t>
      </w:r>
    </w:p>
    <w:p w:rsidR="00D36BCB" w:rsidRPr="00495F71" w:rsidRDefault="00D36BCB" w:rsidP="00D36BCB">
      <w:pPr>
        <w:rPr>
          <w:sz w:val="18"/>
          <w:szCs w:val="18"/>
        </w:rPr>
      </w:pPr>
    </w:p>
    <w:p w:rsidR="00A85714" w:rsidRPr="00A85714" w:rsidRDefault="00873BB1" w:rsidP="00A85714">
      <w:pPr>
        <w:pStyle w:val="Balk1"/>
        <w:rPr>
          <w:rFonts w:eastAsia="SimSun" w:cs="Times New Roman"/>
          <w:noProof w:val="0"/>
          <w:kern w:val="0"/>
          <w:szCs w:val="20"/>
          <w:lang w:val="en-US"/>
        </w:rPr>
      </w:pPr>
      <w:bookmarkStart w:id="6" w:name="_Toc249189866"/>
      <w:bookmarkStart w:id="7" w:name="_Toc415903842"/>
      <w:r w:rsidRPr="005B3A12">
        <w:rPr>
          <w:lang w:val="de-DE"/>
        </w:rPr>
        <w:t>2</w:t>
      </w:r>
      <w:r w:rsidR="00566D88" w:rsidRPr="005B3A12">
        <w:rPr>
          <w:lang w:val="de-DE"/>
        </w:rPr>
        <w:tab/>
      </w:r>
      <w:bookmarkStart w:id="8" w:name="_Toc232251364"/>
      <w:bookmarkStart w:id="9" w:name="_Toc232407717"/>
      <w:bookmarkStart w:id="10" w:name="_Toc98778017"/>
      <w:bookmarkStart w:id="11" w:name="_Toc189919363"/>
      <w:proofErr w:type="spellStart"/>
      <w:r w:rsidR="00A85714" w:rsidRPr="00A85714">
        <w:rPr>
          <w:rFonts w:eastAsia="SimSun" w:cs="Times New Roman"/>
          <w:noProof w:val="0"/>
          <w:kern w:val="0"/>
          <w:szCs w:val="20"/>
          <w:lang w:val="en-US"/>
        </w:rPr>
        <w:t>Atıf</w:t>
      </w:r>
      <w:proofErr w:type="spellEnd"/>
      <w:r w:rsidR="00A85714" w:rsidRPr="00A85714">
        <w:rPr>
          <w:rFonts w:eastAsia="SimSun" w:cs="Times New Roman"/>
          <w:noProof w:val="0"/>
          <w:kern w:val="0"/>
          <w:szCs w:val="20"/>
          <w:lang w:val="en-US"/>
        </w:rPr>
        <w:t xml:space="preserve"> </w:t>
      </w:r>
      <w:proofErr w:type="spellStart"/>
      <w:r w:rsidR="00A85714" w:rsidRPr="00A85714">
        <w:rPr>
          <w:rFonts w:eastAsia="SimSun" w:cs="Times New Roman"/>
          <w:noProof w:val="0"/>
          <w:kern w:val="0"/>
          <w:szCs w:val="20"/>
          <w:lang w:val="en-US"/>
        </w:rPr>
        <w:t>yapılan</w:t>
      </w:r>
      <w:proofErr w:type="spellEnd"/>
      <w:r w:rsidR="00A85714" w:rsidRPr="00A85714">
        <w:rPr>
          <w:rFonts w:eastAsia="SimSun" w:cs="Times New Roman"/>
          <w:noProof w:val="0"/>
          <w:kern w:val="0"/>
          <w:szCs w:val="20"/>
          <w:lang w:val="en-US"/>
        </w:rPr>
        <w:t xml:space="preserve"> standard </w:t>
      </w:r>
      <w:proofErr w:type="spellStart"/>
      <w:r w:rsidR="00A85714" w:rsidRPr="00A85714">
        <w:rPr>
          <w:rFonts w:eastAsia="SimSun" w:cs="Times New Roman"/>
          <w:noProof w:val="0"/>
          <w:kern w:val="0"/>
          <w:szCs w:val="20"/>
          <w:lang w:val="en-US"/>
        </w:rPr>
        <w:t>ve</w:t>
      </w:r>
      <w:proofErr w:type="spellEnd"/>
      <w:r w:rsidR="00A85714" w:rsidRPr="00A85714">
        <w:rPr>
          <w:rFonts w:eastAsia="SimSun" w:cs="Times New Roman"/>
          <w:noProof w:val="0"/>
          <w:kern w:val="0"/>
          <w:szCs w:val="20"/>
          <w:lang w:val="en-US"/>
        </w:rPr>
        <w:t>/</w:t>
      </w:r>
      <w:proofErr w:type="spellStart"/>
      <w:r w:rsidR="00A85714" w:rsidRPr="00A85714">
        <w:rPr>
          <w:rFonts w:eastAsia="SimSun" w:cs="Times New Roman"/>
          <w:noProof w:val="0"/>
          <w:kern w:val="0"/>
          <w:szCs w:val="20"/>
          <w:lang w:val="en-US"/>
        </w:rPr>
        <w:t>veya</w:t>
      </w:r>
      <w:proofErr w:type="spellEnd"/>
      <w:r w:rsidR="00A85714" w:rsidRPr="00A85714">
        <w:rPr>
          <w:rFonts w:eastAsia="SimSun" w:cs="Times New Roman"/>
          <w:noProof w:val="0"/>
          <w:kern w:val="0"/>
          <w:szCs w:val="20"/>
          <w:lang w:val="en-US"/>
        </w:rPr>
        <w:t xml:space="preserve"> </w:t>
      </w:r>
      <w:proofErr w:type="spellStart"/>
      <w:r w:rsidR="00A85714" w:rsidRPr="00A85714">
        <w:rPr>
          <w:rFonts w:eastAsia="SimSun" w:cs="Times New Roman"/>
          <w:noProof w:val="0"/>
          <w:kern w:val="0"/>
          <w:szCs w:val="20"/>
          <w:lang w:val="en-US"/>
        </w:rPr>
        <w:t>dokümanlar</w:t>
      </w:r>
      <w:bookmarkEnd w:id="7"/>
      <w:bookmarkEnd w:id="8"/>
      <w:bookmarkEnd w:id="9"/>
      <w:bookmarkEnd w:id="10"/>
      <w:bookmarkEnd w:id="11"/>
      <w:proofErr w:type="spellEnd"/>
    </w:p>
    <w:p w:rsidR="00A5530E" w:rsidRDefault="00A85714" w:rsidP="00495F71">
      <w:pPr>
        <w:rPr>
          <w:rFonts w:eastAsia="SimSun" w:cs="Arial"/>
        </w:rPr>
      </w:pPr>
      <w:r w:rsidRPr="00A85714">
        <w:rPr>
          <w:rFonts w:eastAsia="SimSun" w:cs="Arial"/>
        </w:rPr>
        <w:t xml:space="preserve">Bu </w:t>
      </w:r>
      <w:proofErr w:type="gramStart"/>
      <w:r w:rsidRPr="00A85714">
        <w:rPr>
          <w:rFonts w:eastAsia="SimSun" w:cs="Arial"/>
        </w:rPr>
        <w:t>revizyonda</w:t>
      </w:r>
      <w:proofErr w:type="gramEnd"/>
      <w:r w:rsidRPr="00A85714">
        <w:rPr>
          <w:rFonts w:eastAsia="SimSun" w:cs="Arial"/>
        </w:rPr>
        <w:t xml:space="preserve"> </w:t>
      </w:r>
      <w:proofErr w:type="spellStart"/>
      <w:r w:rsidRPr="00A85714">
        <w:rPr>
          <w:rFonts w:eastAsia="SimSun" w:cs="Arial"/>
        </w:rPr>
        <w:t>standard</w:t>
      </w:r>
      <w:proofErr w:type="spellEnd"/>
      <w:r w:rsidRPr="00A85714">
        <w:rPr>
          <w:rFonts w:eastAsia="SimSun" w:cs="Arial"/>
        </w:rPr>
        <w:t xml:space="preserve"> ve/veya dokümanlara atıf yapılmaktadır. Bu atıflar metin içerisinde uygun yerlerde belirtilmiş ve aşağıda liste hâlinde verilmiştir. * işaretli olanlar bu standardın basıldığı tarihte İngilizce metin olarak yayımlanmış olan Türk </w:t>
      </w:r>
      <w:proofErr w:type="spellStart"/>
      <w:r w:rsidRPr="00A85714">
        <w:rPr>
          <w:rFonts w:eastAsia="SimSun" w:cs="Arial"/>
        </w:rPr>
        <w:t>Standardlarıdır</w:t>
      </w:r>
      <w:proofErr w:type="spellEnd"/>
      <w:r w:rsidRPr="00A85714">
        <w:rPr>
          <w:rFonts w:eastAsia="SimSun" w:cs="Arial"/>
        </w:rPr>
        <w:t>.</w:t>
      </w:r>
    </w:p>
    <w:p w:rsidR="00A263E2" w:rsidRDefault="00A263E2" w:rsidP="00786D32">
      <w:pPr>
        <w:rPr>
          <w:rFonts w:eastAsia="SimSun" w:cs="Arial"/>
          <w:sz w:val="6"/>
          <w:szCs w:val="6"/>
        </w:rPr>
      </w:pPr>
    </w:p>
    <w:p w:rsidR="00786D32" w:rsidRDefault="00786D32" w:rsidP="00A5530E">
      <w:pPr>
        <w:rPr>
          <w:rFonts w:eastAsia="SimSun" w:cs="Arial"/>
          <w:sz w:val="6"/>
          <w:szCs w:val="6"/>
        </w:rPr>
      </w:pPr>
    </w:p>
    <w:p w:rsidR="00A263E2" w:rsidRPr="00495F71" w:rsidRDefault="00A263E2" w:rsidP="00495F71">
      <w:pPr>
        <w:rPr>
          <w:rFonts w:eastAsia="SimSun" w:cs="Arial"/>
          <w:sz w:val="6"/>
          <w:szCs w:val="6"/>
        </w:rPr>
      </w:pPr>
    </w:p>
    <w:p w:rsidR="00A5530E" w:rsidRPr="00495F71" w:rsidRDefault="00A5530E" w:rsidP="00495F71">
      <w:pPr>
        <w:rPr>
          <w:rFonts w:eastAsia="SimSun" w:cs="Arial"/>
          <w:sz w:val="6"/>
          <w:szCs w:val="6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199"/>
        <w:gridCol w:w="3700"/>
      </w:tblGrid>
      <w:tr w:rsidR="00645CA4" w:rsidRPr="00786D32" w:rsidTr="00495F71">
        <w:tc>
          <w:tcPr>
            <w:tcW w:w="1701" w:type="dxa"/>
          </w:tcPr>
          <w:bookmarkEnd w:id="6"/>
          <w:p w:rsidR="00566D88" w:rsidRPr="00786D32" w:rsidRDefault="00566D88" w:rsidP="00133C0C">
            <w:pPr>
              <w:jc w:val="center"/>
              <w:rPr>
                <w:rFonts w:cs="Arial"/>
                <w:b/>
                <w:sz w:val="19"/>
                <w:szCs w:val="19"/>
              </w:rPr>
            </w:pPr>
            <w:r w:rsidRPr="00786D32">
              <w:rPr>
                <w:b/>
                <w:sz w:val="19"/>
                <w:szCs w:val="19"/>
              </w:rPr>
              <w:t>TS No</w:t>
            </w:r>
          </w:p>
        </w:tc>
        <w:tc>
          <w:tcPr>
            <w:tcW w:w="4199" w:type="dxa"/>
          </w:tcPr>
          <w:p w:rsidR="00566D88" w:rsidRPr="00786D32" w:rsidRDefault="00566D88" w:rsidP="00133C0C">
            <w:pPr>
              <w:jc w:val="center"/>
              <w:rPr>
                <w:rFonts w:cs="Arial"/>
                <w:b/>
                <w:sz w:val="19"/>
                <w:szCs w:val="19"/>
              </w:rPr>
            </w:pPr>
            <w:r w:rsidRPr="00786D32">
              <w:rPr>
                <w:b/>
                <w:sz w:val="19"/>
                <w:szCs w:val="19"/>
              </w:rPr>
              <w:t>Türkçe Adı</w:t>
            </w:r>
          </w:p>
        </w:tc>
        <w:tc>
          <w:tcPr>
            <w:tcW w:w="3700" w:type="dxa"/>
          </w:tcPr>
          <w:p w:rsidR="00566D88" w:rsidRPr="00786D32" w:rsidRDefault="00566D88" w:rsidP="00133C0C">
            <w:pPr>
              <w:jc w:val="center"/>
              <w:rPr>
                <w:rFonts w:cs="Arial"/>
                <w:b/>
                <w:sz w:val="19"/>
                <w:szCs w:val="19"/>
              </w:rPr>
            </w:pPr>
            <w:r w:rsidRPr="00786D32">
              <w:rPr>
                <w:b/>
                <w:sz w:val="19"/>
                <w:szCs w:val="19"/>
              </w:rPr>
              <w:t>İngilizce Adı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TS 342</w:t>
            </w:r>
          </w:p>
        </w:tc>
        <w:tc>
          <w:tcPr>
            <w:tcW w:w="4199" w:type="dxa"/>
          </w:tcPr>
          <w:p w:rsidR="00566D88" w:rsidRPr="00786D32" w:rsidRDefault="00461095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Yemeklik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zeytinyağı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Muayene ve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deney yöntemleri</w:t>
            </w:r>
          </w:p>
        </w:tc>
        <w:tc>
          <w:tcPr>
            <w:tcW w:w="3700" w:type="dxa"/>
          </w:tcPr>
          <w:p w:rsidR="00566D88" w:rsidRPr="00786D32" w:rsidRDefault="00461095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Methods of analysis for edible olive oils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TS 545</w:t>
            </w:r>
          </w:p>
        </w:tc>
        <w:tc>
          <w:tcPr>
            <w:tcW w:w="4199" w:type="dxa"/>
          </w:tcPr>
          <w:p w:rsidR="00566D88" w:rsidRPr="00786D32" w:rsidRDefault="00461095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Ayarlı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çözeltilerin hazırlanması</w:t>
            </w:r>
          </w:p>
        </w:tc>
        <w:tc>
          <w:tcPr>
            <w:tcW w:w="3700" w:type="dxa"/>
          </w:tcPr>
          <w:p w:rsidR="00566D88" w:rsidRPr="00786D32" w:rsidRDefault="00461095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Preparation </w:t>
            </w:r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of standard solutions for volumetric analysis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TS 894</w:t>
            </w:r>
          </w:p>
        </w:tc>
        <w:tc>
          <w:tcPr>
            <w:tcW w:w="4199" w:type="dxa"/>
          </w:tcPr>
          <w:p w:rsidR="00566D88" w:rsidRPr="00786D32" w:rsidRDefault="002C7815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Yemeklik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bitkisel yağlar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Muayene </w:t>
            </w:r>
            <w:proofErr w:type="spellStart"/>
            <w:r w:rsidR="00967F0A" w:rsidRPr="00786D32">
              <w:rPr>
                <w:rFonts w:cs="Arial"/>
                <w:color w:val="000000"/>
                <w:sz w:val="19"/>
                <w:szCs w:val="19"/>
              </w:rPr>
              <w:t>metodları</w:t>
            </w:r>
            <w:proofErr w:type="spellEnd"/>
          </w:p>
        </w:tc>
        <w:tc>
          <w:tcPr>
            <w:tcW w:w="3700" w:type="dxa"/>
          </w:tcPr>
          <w:p w:rsidR="00566D88" w:rsidRPr="00786D32" w:rsidRDefault="002C7815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Methods of </w:t>
            </w:r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analysis for edible oils of vegetable origin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</w:rPr>
              <w:t>TS EN ISO 661</w:t>
            </w:r>
            <w:r w:rsidR="00021A20" w:rsidRPr="00786D32">
              <w:rPr>
                <w:rFonts w:cs="Arial"/>
                <w:bCs/>
                <w:color w:val="000000"/>
                <w:sz w:val="19"/>
                <w:szCs w:val="19"/>
              </w:rPr>
              <w:t>*</w:t>
            </w:r>
          </w:p>
        </w:tc>
        <w:tc>
          <w:tcPr>
            <w:tcW w:w="4199" w:type="dxa"/>
          </w:tcPr>
          <w:p w:rsidR="00566D88" w:rsidRPr="00786D32" w:rsidRDefault="002C7815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</w:t>
            </w:r>
            <w:r w:rsidR="00215B91" w:rsidRPr="00786D32">
              <w:rPr>
                <w:rFonts w:cs="Arial"/>
                <w:color w:val="000000"/>
                <w:sz w:val="19"/>
                <w:szCs w:val="19"/>
              </w:rPr>
              <w:t>b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itkisel </w:t>
            </w:r>
            <w:r w:rsidR="00215B91" w:rsidRPr="00786D32">
              <w:rPr>
                <w:rFonts w:cs="Arial"/>
                <w:color w:val="000000"/>
                <w:sz w:val="19"/>
                <w:szCs w:val="19"/>
              </w:rPr>
              <w:t>y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ağlar</w:t>
            </w:r>
            <w:r w:rsidR="00E7529B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E7529B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Analiz numunesinin </w:t>
            </w:r>
            <w:r w:rsidR="00215B91" w:rsidRPr="00786D32">
              <w:rPr>
                <w:rFonts w:cs="Arial"/>
                <w:color w:val="000000"/>
                <w:sz w:val="19"/>
                <w:szCs w:val="19"/>
              </w:rPr>
              <w:t>h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azırlanması</w:t>
            </w:r>
          </w:p>
        </w:tc>
        <w:tc>
          <w:tcPr>
            <w:tcW w:w="3700" w:type="dxa"/>
          </w:tcPr>
          <w:p w:rsidR="00566D88" w:rsidRPr="00786D32" w:rsidRDefault="002C7815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Preparation of test sample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TS 1607 EN ISO 662</w:t>
            </w:r>
          </w:p>
        </w:tc>
        <w:tc>
          <w:tcPr>
            <w:tcW w:w="4199" w:type="dxa"/>
          </w:tcPr>
          <w:p w:rsidR="00566D88" w:rsidRPr="00786D32" w:rsidRDefault="00B03529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bitkisel katı ve sıvı yağlar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- Rutubet ve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uçucu madde tayini</w:t>
            </w:r>
          </w:p>
        </w:tc>
        <w:tc>
          <w:tcPr>
            <w:tcW w:w="3700" w:type="dxa"/>
          </w:tcPr>
          <w:p w:rsidR="00566D88" w:rsidRPr="00786D32" w:rsidRDefault="00B03529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Animal and vegetable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fast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and oils</w:t>
            </w:r>
            <w:r w:rsidR="00215B91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- Determination of moisture and volatile matter content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de-DE"/>
              </w:rPr>
              <w:t>TS  EN ISO 663</w:t>
            </w:r>
            <w:r w:rsidR="00BB7C39" w:rsidRPr="00786D32">
              <w:rPr>
                <w:rFonts w:cs="Arial"/>
                <w:bCs/>
                <w:color w:val="000000"/>
                <w:sz w:val="19"/>
                <w:szCs w:val="19"/>
                <w:lang w:val="de-DE"/>
              </w:rPr>
              <w:t>*</w:t>
            </w:r>
          </w:p>
        </w:tc>
        <w:tc>
          <w:tcPr>
            <w:tcW w:w="4199" w:type="dxa"/>
          </w:tcPr>
          <w:p w:rsidR="00566D88" w:rsidRPr="00786D32" w:rsidRDefault="00B03529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bitkisel katı ve sıvı yağlar -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Çözünmeyen </w:t>
            </w:r>
            <w:proofErr w:type="spellStart"/>
            <w:r w:rsidR="00967F0A" w:rsidRPr="00786D32">
              <w:rPr>
                <w:rFonts w:cs="Arial"/>
                <w:color w:val="000000"/>
                <w:sz w:val="19"/>
                <w:szCs w:val="19"/>
              </w:rPr>
              <w:t>safsızlık</w:t>
            </w:r>
            <w:proofErr w:type="spellEnd"/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 içeriğinin tayini</w:t>
            </w:r>
          </w:p>
        </w:tc>
        <w:tc>
          <w:tcPr>
            <w:tcW w:w="3700" w:type="dxa"/>
          </w:tcPr>
          <w:p w:rsidR="00566D88" w:rsidRPr="00786D32" w:rsidRDefault="00B03529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</w:t>
            </w:r>
            <w:r w:rsidR="00215B91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-Determination of insoluble impurities content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TS 2104</w:t>
            </w:r>
          </w:p>
        </w:tc>
        <w:tc>
          <w:tcPr>
            <w:tcW w:w="4199" w:type="dxa"/>
          </w:tcPr>
          <w:p w:rsidR="00566D88" w:rsidRPr="00786D32" w:rsidRDefault="00B03529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Belirteçler</w:t>
            </w:r>
            <w:r w:rsidR="00886268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="00633881"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886268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Belirteç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 çözeltileri hazırlama yöntemleri</w:t>
            </w:r>
          </w:p>
        </w:tc>
        <w:tc>
          <w:tcPr>
            <w:tcW w:w="3700" w:type="dxa"/>
          </w:tcPr>
          <w:p w:rsidR="00566D88" w:rsidRPr="00786D32" w:rsidRDefault="00B03529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Indicators</w:t>
            </w:r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-</w:t>
            </w:r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Methods </w:t>
            </w:r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of preparation of </w:t>
            </w:r>
            <w:r w:rsidR="00BC65B8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indicator</w:t>
            </w:r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solutions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fr-FR"/>
              </w:rPr>
              <w:t>TS EN ISO 3696</w:t>
            </w:r>
          </w:p>
        </w:tc>
        <w:tc>
          <w:tcPr>
            <w:tcW w:w="4199" w:type="dxa"/>
          </w:tcPr>
          <w:p w:rsidR="00566D88" w:rsidRPr="00786D32" w:rsidRDefault="00B03529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Su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 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 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Analitik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laboratuvarında kullanılan 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 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Özellikler ve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deney metotları</w:t>
            </w:r>
          </w:p>
        </w:tc>
        <w:tc>
          <w:tcPr>
            <w:tcW w:w="3700" w:type="dxa"/>
          </w:tcPr>
          <w:p w:rsidR="00566D88" w:rsidRPr="00786D32" w:rsidRDefault="00B03529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Water for analytical laboratory use</w:t>
            </w:r>
            <w:r w:rsidR="00215B91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-Specification and test methods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6F629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fr-FR"/>
              </w:rPr>
              <w:t>TS EN ISO 12966-2</w:t>
            </w:r>
          </w:p>
        </w:tc>
        <w:tc>
          <w:tcPr>
            <w:tcW w:w="4199" w:type="dxa"/>
          </w:tcPr>
          <w:p w:rsidR="00566D88" w:rsidRPr="00786D32" w:rsidRDefault="00DA09BC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- Yağ asitleri metil esterlerinin gaz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kromotografisi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- Bölüm 2:Yağ asitleri metil esterlerinin hazırlanması</w:t>
            </w:r>
          </w:p>
        </w:tc>
        <w:tc>
          <w:tcPr>
            <w:tcW w:w="3700" w:type="dxa"/>
          </w:tcPr>
          <w:p w:rsidR="00566D88" w:rsidRPr="00786D32" w:rsidRDefault="00DA09BC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Gas chromatography of fatty acid methyl esters - Part 2: Preparation of methyl esters of fatty acids</w:t>
            </w:r>
          </w:p>
        </w:tc>
      </w:tr>
      <w:tr w:rsidR="002E389A" w:rsidRPr="00786D32" w:rsidTr="00495F71">
        <w:tc>
          <w:tcPr>
            <w:tcW w:w="1701" w:type="dxa"/>
          </w:tcPr>
          <w:p w:rsidR="002E389A" w:rsidRPr="00786D32" w:rsidRDefault="002E389A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sz w:val="19"/>
                <w:szCs w:val="19"/>
              </w:rPr>
              <w:t>TS 4664 EN ISO 5508</w:t>
            </w:r>
          </w:p>
        </w:tc>
        <w:tc>
          <w:tcPr>
            <w:tcW w:w="4199" w:type="dxa"/>
          </w:tcPr>
          <w:p w:rsidR="002E389A" w:rsidRPr="00786D32" w:rsidRDefault="002E389A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sz w:val="19"/>
                <w:szCs w:val="19"/>
              </w:rPr>
              <w:t xml:space="preserve">Hayvansal ve bitkisel katı ve sıvı yağlar - Yağ asitleri metil esterlerinin gaz </w:t>
            </w:r>
            <w:proofErr w:type="spellStart"/>
            <w:r w:rsidRPr="00786D32">
              <w:rPr>
                <w:sz w:val="19"/>
                <w:szCs w:val="19"/>
              </w:rPr>
              <w:t>kromatografisiyle</w:t>
            </w:r>
            <w:proofErr w:type="spellEnd"/>
            <w:r w:rsidRPr="00786D32">
              <w:rPr>
                <w:sz w:val="19"/>
                <w:szCs w:val="19"/>
              </w:rPr>
              <w:t xml:space="preserve"> analizi</w:t>
            </w:r>
          </w:p>
        </w:tc>
        <w:tc>
          <w:tcPr>
            <w:tcW w:w="3700" w:type="dxa"/>
          </w:tcPr>
          <w:p w:rsidR="002E389A" w:rsidRPr="00786D32" w:rsidRDefault="002E389A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proofErr w:type="spellStart"/>
            <w:r w:rsidRPr="00786D32">
              <w:rPr>
                <w:sz w:val="19"/>
                <w:szCs w:val="19"/>
              </w:rPr>
              <w:t>Animal</w:t>
            </w:r>
            <w:proofErr w:type="spellEnd"/>
            <w:r w:rsidRPr="00786D32">
              <w:rPr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sz w:val="19"/>
                <w:szCs w:val="19"/>
              </w:rPr>
              <w:t>and</w:t>
            </w:r>
            <w:proofErr w:type="spellEnd"/>
            <w:r w:rsidRPr="00786D32">
              <w:rPr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sz w:val="19"/>
                <w:szCs w:val="19"/>
              </w:rPr>
              <w:t>vegetable</w:t>
            </w:r>
            <w:proofErr w:type="spellEnd"/>
            <w:r w:rsidRPr="00786D32">
              <w:rPr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sz w:val="19"/>
                <w:szCs w:val="19"/>
              </w:rPr>
              <w:t>fats</w:t>
            </w:r>
            <w:proofErr w:type="spellEnd"/>
            <w:r w:rsidRPr="00786D32">
              <w:rPr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sz w:val="19"/>
                <w:szCs w:val="19"/>
              </w:rPr>
              <w:t>and</w:t>
            </w:r>
            <w:proofErr w:type="spellEnd"/>
            <w:r w:rsidRPr="00786D32">
              <w:rPr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sz w:val="19"/>
                <w:szCs w:val="19"/>
              </w:rPr>
              <w:t>oils</w:t>
            </w:r>
            <w:proofErr w:type="spellEnd"/>
            <w:r w:rsidRPr="00786D32">
              <w:rPr>
                <w:sz w:val="19"/>
                <w:szCs w:val="19"/>
              </w:rPr>
              <w:t xml:space="preserve"> -Analysis </w:t>
            </w:r>
            <w:proofErr w:type="spellStart"/>
            <w:r w:rsidRPr="00786D32">
              <w:rPr>
                <w:sz w:val="19"/>
                <w:szCs w:val="19"/>
              </w:rPr>
              <w:t>by</w:t>
            </w:r>
            <w:proofErr w:type="spellEnd"/>
            <w:r w:rsidRPr="00786D32">
              <w:rPr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sz w:val="19"/>
                <w:szCs w:val="19"/>
              </w:rPr>
              <w:t>gas</w:t>
            </w:r>
            <w:proofErr w:type="spellEnd"/>
            <w:r w:rsidRPr="00786D32">
              <w:rPr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sz w:val="19"/>
                <w:szCs w:val="19"/>
              </w:rPr>
              <w:t>chromatography</w:t>
            </w:r>
            <w:proofErr w:type="spellEnd"/>
            <w:r w:rsidRPr="00786D32">
              <w:rPr>
                <w:sz w:val="19"/>
                <w:szCs w:val="19"/>
              </w:rPr>
              <w:t xml:space="preserve"> of </w:t>
            </w:r>
            <w:proofErr w:type="spellStart"/>
            <w:r w:rsidRPr="00786D32">
              <w:rPr>
                <w:sz w:val="19"/>
                <w:szCs w:val="19"/>
              </w:rPr>
              <w:t>methyl</w:t>
            </w:r>
            <w:proofErr w:type="spellEnd"/>
            <w:r w:rsidRPr="00786D32">
              <w:rPr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sz w:val="19"/>
                <w:szCs w:val="19"/>
              </w:rPr>
              <w:t>esters</w:t>
            </w:r>
            <w:proofErr w:type="spellEnd"/>
            <w:r w:rsidRPr="00786D32">
              <w:rPr>
                <w:sz w:val="19"/>
                <w:szCs w:val="19"/>
              </w:rPr>
              <w:t xml:space="preserve"> of </w:t>
            </w:r>
            <w:proofErr w:type="spellStart"/>
            <w:r w:rsidRPr="00786D32">
              <w:rPr>
                <w:sz w:val="19"/>
                <w:szCs w:val="19"/>
              </w:rPr>
              <w:t>fatty</w:t>
            </w:r>
            <w:proofErr w:type="spellEnd"/>
            <w:r w:rsidRPr="00786D32">
              <w:rPr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sz w:val="19"/>
                <w:szCs w:val="19"/>
              </w:rPr>
              <w:t>acids</w:t>
            </w:r>
            <w:proofErr w:type="spellEnd"/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fr-FR"/>
              </w:rPr>
              <w:t>TS 4960 EN ISO 6320</w:t>
            </w:r>
          </w:p>
        </w:tc>
        <w:tc>
          <w:tcPr>
            <w:tcW w:w="4199" w:type="dxa"/>
          </w:tcPr>
          <w:p w:rsidR="00566D88" w:rsidRPr="00786D32" w:rsidRDefault="00964D39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bitkisel yağlar - </w:t>
            </w:r>
            <w:r w:rsidR="009468EB" w:rsidRPr="00786D32">
              <w:rPr>
                <w:rFonts w:cs="Arial"/>
                <w:color w:val="000000"/>
                <w:sz w:val="19"/>
                <w:szCs w:val="19"/>
              </w:rPr>
              <w:t>Kırılma indisi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tayini</w:t>
            </w:r>
          </w:p>
        </w:tc>
        <w:tc>
          <w:tcPr>
            <w:tcW w:w="3700" w:type="dxa"/>
          </w:tcPr>
          <w:p w:rsidR="00566D88" w:rsidRPr="00786D32" w:rsidRDefault="009468EB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="00E7529B"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refractive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index</w:t>
            </w:r>
            <w:proofErr w:type="spellEnd"/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9176EA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fr-FR"/>
              </w:rPr>
              <w:t>TS EN ISO 3961</w:t>
            </w:r>
          </w:p>
        </w:tc>
        <w:tc>
          <w:tcPr>
            <w:tcW w:w="4199" w:type="dxa"/>
          </w:tcPr>
          <w:p w:rsidR="00566D88" w:rsidRPr="00786D32" w:rsidRDefault="009176EA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Hayvansal ve bitkisel katı ve sıvı yağlar -İyot sayısı tayini</w:t>
            </w:r>
          </w:p>
        </w:tc>
        <w:tc>
          <w:tcPr>
            <w:tcW w:w="3700" w:type="dxa"/>
          </w:tcPr>
          <w:p w:rsidR="00566D88" w:rsidRPr="00786D32" w:rsidRDefault="009176EA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Determination of iodine value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6F0604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fr-FR"/>
              </w:rPr>
              <w:t>TS EN ISO 3657</w:t>
            </w:r>
          </w:p>
        </w:tc>
        <w:tc>
          <w:tcPr>
            <w:tcW w:w="4199" w:type="dxa"/>
          </w:tcPr>
          <w:p w:rsidR="00566D88" w:rsidRPr="00786D32" w:rsidRDefault="006F0604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Hayvansal ve bitkisel katı ve sıvı yağlar - Sabunlaşma sayısının tayini</w:t>
            </w:r>
          </w:p>
        </w:tc>
        <w:tc>
          <w:tcPr>
            <w:tcW w:w="3700" w:type="dxa"/>
          </w:tcPr>
          <w:p w:rsidR="00566D88" w:rsidRPr="00786D32" w:rsidRDefault="006F0604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Determination of saponification value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</w:rPr>
              <w:t>TS 4963</w:t>
            </w:r>
          </w:p>
        </w:tc>
        <w:tc>
          <w:tcPr>
            <w:tcW w:w="4199" w:type="dxa"/>
          </w:tcPr>
          <w:p w:rsidR="00566D88" w:rsidRPr="00786D32" w:rsidRDefault="00964D39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bitkisel yağlar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- Sabunlaşmayan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maddelerin tayini</w:t>
            </w:r>
          </w:p>
        </w:tc>
        <w:tc>
          <w:tcPr>
            <w:tcW w:w="3700" w:type="dxa"/>
          </w:tcPr>
          <w:p w:rsidR="00566D88" w:rsidRPr="00786D32" w:rsidRDefault="00964D39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Animal and </w:t>
            </w:r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vegetable oils and fats - </w:t>
            </w: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Determination of </w:t>
            </w:r>
            <w:proofErr w:type="spellStart"/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unsaponifiable</w:t>
            </w:r>
            <w:proofErr w:type="spellEnd"/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matter</w:t>
            </w:r>
          </w:p>
        </w:tc>
      </w:tr>
      <w:tr w:rsidR="00645CA4" w:rsidRPr="00786D32" w:rsidTr="00495F71"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fr-FR"/>
              </w:rPr>
              <w:t xml:space="preserve">TS </w:t>
            </w:r>
            <w:r w:rsidR="00964D39" w:rsidRPr="00786D32">
              <w:rPr>
                <w:rFonts w:cs="Arial"/>
                <w:color w:val="000000"/>
                <w:sz w:val="19"/>
                <w:szCs w:val="19"/>
                <w:lang w:val="fr-FR"/>
              </w:rPr>
              <w:t xml:space="preserve">EN </w:t>
            </w:r>
            <w:r w:rsidRPr="00786D32">
              <w:rPr>
                <w:rFonts w:cs="Arial"/>
                <w:color w:val="000000"/>
                <w:sz w:val="19"/>
                <w:szCs w:val="19"/>
                <w:lang w:val="fr-FR"/>
              </w:rPr>
              <w:t>ISO 3960</w:t>
            </w:r>
            <w:r w:rsidR="00BB7C39" w:rsidRPr="00786D32">
              <w:rPr>
                <w:rFonts w:cs="Arial"/>
                <w:color w:val="000000"/>
                <w:sz w:val="19"/>
                <w:szCs w:val="19"/>
                <w:lang w:val="fr-FR"/>
              </w:rPr>
              <w:t>*</w:t>
            </w:r>
          </w:p>
        </w:tc>
        <w:tc>
          <w:tcPr>
            <w:tcW w:w="4199" w:type="dxa"/>
          </w:tcPr>
          <w:p w:rsidR="00566D88" w:rsidRPr="00786D32" w:rsidRDefault="00964D39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</w:t>
            </w:r>
            <w:r w:rsidR="00E7529B"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Peroksit değeri tayini</w:t>
            </w:r>
          </w:p>
        </w:tc>
        <w:tc>
          <w:tcPr>
            <w:tcW w:w="3700" w:type="dxa"/>
          </w:tcPr>
          <w:p w:rsidR="00566D88" w:rsidRPr="00786D32" w:rsidRDefault="00964D39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Determination of peroxide value</w:t>
            </w:r>
          </w:p>
        </w:tc>
      </w:tr>
      <w:tr w:rsidR="00645CA4" w:rsidRPr="00786D32" w:rsidTr="00495F71">
        <w:trPr>
          <w:trHeight w:val="181"/>
        </w:trPr>
        <w:tc>
          <w:tcPr>
            <w:tcW w:w="1701" w:type="dxa"/>
          </w:tcPr>
          <w:p w:rsidR="00566D88" w:rsidRPr="00786D32" w:rsidRDefault="00566D88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TS 5038</w:t>
            </w:r>
          </w:p>
        </w:tc>
        <w:tc>
          <w:tcPr>
            <w:tcW w:w="4199" w:type="dxa"/>
          </w:tcPr>
          <w:p w:rsidR="00566D88" w:rsidRPr="00786D32" w:rsidRDefault="003312F4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bitkisel yağlar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Sabun </w:t>
            </w:r>
            <w:r w:rsidR="00967F0A" w:rsidRPr="00786D32">
              <w:rPr>
                <w:rFonts w:cs="Arial"/>
                <w:color w:val="000000"/>
                <w:sz w:val="19"/>
                <w:szCs w:val="19"/>
              </w:rPr>
              <w:t>miktarının tayini</w:t>
            </w:r>
          </w:p>
        </w:tc>
        <w:tc>
          <w:tcPr>
            <w:tcW w:w="3700" w:type="dxa"/>
          </w:tcPr>
          <w:p w:rsidR="00566D88" w:rsidRPr="00786D32" w:rsidRDefault="003312F4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Animal and </w:t>
            </w:r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vegetable fats and oils </w:t>
            </w: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-Determination </w:t>
            </w:r>
            <w:r w:rsidR="00967F0A"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of soap content</w:t>
            </w:r>
          </w:p>
        </w:tc>
      </w:tr>
      <w:tr w:rsidR="000A0311" w:rsidRPr="00786D32" w:rsidTr="00495F71">
        <w:tc>
          <w:tcPr>
            <w:tcW w:w="1701" w:type="dxa"/>
          </w:tcPr>
          <w:p w:rsidR="000A0311" w:rsidRPr="00786D32" w:rsidRDefault="000A0311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noProof/>
                <w:color w:val="000000"/>
                <w:sz w:val="19"/>
                <w:szCs w:val="19"/>
              </w:rPr>
              <w:t xml:space="preserve">TS 6182 </w:t>
            </w:r>
          </w:p>
        </w:tc>
        <w:tc>
          <w:tcPr>
            <w:tcW w:w="4199" w:type="dxa"/>
          </w:tcPr>
          <w:p w:rsidR="000A0311" w:rsidRPr="00786D32" w:rsidRDefault="000A0311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Meyve, 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>s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ebze ve 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>m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amulleri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Kurşun 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>m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iktarı 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>t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ayini 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>a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levsiz 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>a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tomik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a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bsorpsiyon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s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pektro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>foto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metrik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>m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etot</w:t>
            </w:r>
          </w:p>
        </w:tc>
        <w:tc>
          <w:tcPr>
            <w:tcW w:w="3700" w:type="dxa"/>
          </w:tcPr>
          <w:p w:rsidR="000A0311" w:rsidRPr="00786D32" w:rsidRDefault="000A0311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Fruits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,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v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egetables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d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erived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p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roducts</w:t>
            </w:r>
            <w:proofErr w:type="spellEnd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l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ead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c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ontent</w:t>
            </w:r>
            <w:proofErr w:type="spellEnd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A36C99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Flameless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a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tomic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a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bsorption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s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pectrometric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A36C99" w:rsidRPr="00786D32">
              <w:rPr>
                <w:rFonts w:cs="Arial"/>
                <w:color w:val="000000"/>
                <w:sz w:val="19"/>
                <w:szCs w:val="19"/>
              </w:rPr>
              <w:t>m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ethod</w:t>
            </w:r>
            <w:proofErr w:type="spellEnd"/>
          </w:p>
        </w:tc>
      </w:tr>
      <w:tr w:rsidR="000A0311" w:rsidRPr="00786D32" w:rsidTr="00495F71">
        <w:tc>
          <w:tcPr>
            <w:tcW w:w="1701" w:type="dxa"/>
            <w:tcBorders>
              <w:bottom w:val="single" w:sz="4" w:space="0" w:color="auto"/>
            </w:tcBorders>
          </w:tcPr>
          <w:p w:rsidR="000A0311" w:rsidRPr="00786D32" w:rsidRDefault="000A0311" w:rsidP="00133C0C">
            <w:pPr>
              <w:jc w:val="left"/>
              <w:rPr>
                <w:rFonts w:cs="Arial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TS 7060 EN ISO 5555</w:t>
            </w:r>
          </w:p>
        </w:tc>
        <w:tc>
          <w:tcPr>
            <w:tcW w:w="4199" w:type="dxa"/>
            <w:tcBorders>
              <w:bottom w:val="single" w:sz="4" w:space="0" w:color="auto"/>
            </w:tcBorders>
          </w:tcPr>
          <w:p w:rsidR="000A0311" w:rsidRPr="00786D32" w:rsidRDefault="000A0311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Hayvansal ve bitkisel katı ve sıvı yağlar - Numune alma</w:t>
            </w:r>
          </w:p>
        </w:tc>
        <w:tc>
          <w:tcPr>
            <w:tcW w:w="3700" w:type="dxa"/>
            <w:tcBorders>
              <w:bottom w:val="single" w:sz="4" w:space="0" w:color="auto"/>
            </w:tcBorders>
          </w:tcPr>
          <w:p w:rsidR="000A0311" w:rsidRPr="00786D32" w:rsidRDefault="000A0311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Sampling</w:t>
            </w:r>
          </w:p>
        </w:tc>
      </w:tr>
      <w:tr w:rsidR="00E923AA" w:rsidRPr="00786D32" w:rsidTr="00495F71">
        <w:tc>
          <w:tcPr>
            <w:tcW w:w="1701" w:type="dxa"/>
            <w:tcBorders>
              <w:bottom w:val="single" w:sz="4" w:space="0" w:color="auto"/>
            </w:tcBorders>
          </w:tcPr>
          <w:p w:rsidR="00E923AA" w:rsidRPr="00786D32" w:rsidRDefault="00E923AA" w:rsidP="00133C0C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TS EN ISO 12228-1</w:t>
            </w:r>
            <w:r w:rsidR="00A263E2" w:rsidRPr="00786D32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*</w:t>
            </w:r>
          </w:p>
        </w:tc>
        <w:tc>
          <w:tcPr>
            <w:tcW w:w="4199" w:type="dxa"/>
            <w:tcBorders>
              <w:bottom w:val="single" w:sz="4" w:space="0" w:color="auto"/>
            </w:tcBorders>
          </w:tcPr>
          <w:p w:rsidR="00E923AA" w:rsidRPr="00786D32" w:rsidRDefault="00E923AA" w:rsidP="00133C0C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Tek tek ve toplam sterol içeriğinin tayini</w:t>
            </w:r>
            <w:r w:rsidR="00C731F3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C731F3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Gaz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kromatografik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yöntem</w:t>
            </w:r>
            <w:r w:rsidR="00C731F3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-</w:t>
            </w:r>
            <w:r w:rsidR="00C731F3" w:rsidRPr="00786D3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786D32">
              <w:rPr>
                <w:rFonts w:cs="Arial"/>
                <w:color w:val="000000"/>
                <w:sz w:val="19"/>
                <w:szCs w:val="19"/>
              </w:rPr>
              <w:t>Bölüm 1:Hayvansal ve bitkisel katı ve sıvı yağlar</w:t>
            </w:r>
          </w:p>
        </w:tc>
        <w:tc>
          <w:tcPr>
            <w:tcW w:w="3700" w:type="dxa"/>
            <w:tcBorders>
              <w:bottom w:val="single" w:sz="4" w:space="0" w:color="auto"/>
            </w:tcBorders>
          </w:tcPr>
          <w:p w:rsidR="00E923AA" w:rsidRPr="00786D32" w:rsidRDefault="00E923AA" w:rsidP="00133C0C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Determination of individual and total sterols contents - Gas chromatographic method - Part 1: Animal and vegetable fats and oils</w:t>
            </w:r>
          </w:p>
        </w:tc>
      </w:tr>
    </w:tbl>
    <w:p w:rsidR="00873BB1" w:rsidRPr="00E733CB" w:rsidRDefault="00873BB1" w:rsidP="004F4747">
      <w:pPr>
        <w:pStyle w:val="Balk1"/>
        <w:rPr>
          <w:sz w:val="22"/>
          <w:szCs w:val="22"/>
          <w:lang w:val="tr-TR"/>
        </w:rPr>
      </w:pPr>
      <w:bookmarkStart w:id="12" w:name="_Toc127328163"/>
      <w:bookmarkStart w:id="13" w:name="_Toc127328186"/>
      <w:bookmarkStart w:id="14" w:name="_Toc127346680"/>
      <w:bookmarkStart w:id="15" w:name="_Toc127346727"/>
      <w:bookmarkStart w:id="16" w:name="_Toc127348464"/>
      <w:bookmarkStart w:id="17" w:name="_Toc193109738"/>
      <w:bookmarkStart w:id="18" w:name="_Toc249189867"/>
      <w:bookmarkStart w:id="19" w:name="_Toc415903843"/>
      <w:r w:rsidRPr="00215B91">
        <w:rPr>
          <w:szCs w:val="24"/>
          <w:lang w:val="tr-TR"/>
        </w:rPr>
        <w:t>3</w:t>
      </w:r>
      <w:bookmarkEnd w:id="12"/>
      <w:bookmarkEnd w:id="13"/>
      <w:bookmarkEnd w:id="14"/>
      <w:bookmarkEnd w:id="15"/>
      <w:bookmarkEnd w:id="16"/>
      <w:r w:rsidR="002E4578">
        <w:rPr>
          <w:szCs w:val="24"/>
          <w:lang w:val="tr-TR"/>
        </w:rPr>
        <w:tab/>
      </w:r>
      <w:r w:rsidRPr="00E733CB">
        <w:rPr>
          <w:lang w:val="tr-TR"/>
        </w:rPr>
        <w:t xml:space="preserve">Terimler ve </w:t>
      </w:r>
      <w:r w:rsidR="003014E0" w:rsidRPr="00E733CB">
        <w:rPr>
          <w:lang w:val="tr-TR"/>
        </w:rPr>
        <w:t>tarifler</w:t>
      </w:r>
      <w:bookmarkEnd w:id="17"/>
      <w:bookmarkEnd w:id="18"/>
      <w:bookmarkEnd w:id="19"/>
    </w:p>
    <w:p w:rsidR="003014E0" w:rsidRPr="00133C0C" w:rsidRDefault="003014E0" w:rsidP="00C8558D">
      <w:pPr>
        <w:rPr>
          <w:rFonts w:cs="Arial"/>
          <w:b/>
          <w:sz w:val="12"/>
          <w:szCs w:val="12"/>
        </w:rPr>
      </w:pPr>
    </w:p>
    <w:p w:rsidR="00C8558D" w:rsidRPr="003014E0" w:rsidRDefault="00873BB1" w:rsidP="00786D32">
      <w:pPr>
        <w:pStyle w:val="Balk2"/>
        <w:rPr>
          <w:lang w:val="tr-TR" w:eastAsia="tr-TR"/>
        </w:rPr>
      </w:pPr>
      <w:bookmarkStart w:id="20" w:name="_Toc249189868"/>
      <w:bookmarkStart w:id="21" w:name="_Toc415903844"/>
      <w:r w:rsidRPr="003014E0">
        <w:rPr>
          <w:lang w:val="tr-TR" w:eastAsia="tr-TR"/>
        </w:rPr>
        <w:t>3</w:t>
      </w:r>
      <w:r w:rsidR="00C8558D" w:rsidRPr="003014E0">
        <w:rPr>
          <w:lang w:val="tr-TR" w:eastAsia="tr-TR"/>
        </w:rPr>
        <w:t>.1</w:t>
      </w:r>
      <w:r w:rsidR="00C97460">
        <w:rPr>
          <w:lang w:val="tr-TR" w:eastAsia="tr-TR"/>
        </w:rPr>
        <w:tab/>
      </w:r>
      <w:r w:rsidR="00C8558D" w:rsidRPr="003014E0">
        <w:rPr>
          <w:lang w:val="tr-TR" w:eastAsia="tr-TR"/>
        </w:rPr>
        <w:t>Yemeklik ayçiçek yağı</w:t>
      </w:r>
      <w:bookmarkEnd w:id="20"/>
      <w:bookmarkEnd w:id="21"/>
    </w:p>
    <w:p w:rsidR="00C8558D" w:rsidRDefault="009B7AF5" w:rsidP="00C8558D">
      <w:pPr>
        <w:rPr>
          <w:rFonts w:cs="Arial"/>
          <w:szCs w:val="20"/>
        </w:rPr>
      </w:pPr>
      <w:r>
        <w:rPr>
          <w:rFonts w:cs="Arial"/>
          <w:szCs w:val="20"/>
        </w:rPr>
        <w:t>A</w:t>
      </w:r>
      <w:r w:rsidR="007339CF">
        <w:rPr>
          <w:szCs w:val="28"/>
        </w:rPr>
        <w:t xml:space="preserve">yçiçek  </w:t>
      </w:r>
      <w:r w:rsidR="007339CF">
        <w:rPr>
          <w:rFonts w:cs="Arial"/>
          <w:szCs w:val="20"/>
        </w:rPr>
        <w:t>(</w:t>
      </w:r>
      <w:proofErr w:type="spellStart"/>
      <w:r w:rsidR="003014E0" w:rsidRPr="003014E0">
        <w:rPr>
          <w:rFonts w:cs="Arial"/>
          <w:i/>
          <w:szCs w:val="20"/>
        </w:rPr>
        <w:t>Helianthus</w:t>
      </w:r>
      <w:proofErr w:type="spellEnd"/>
      <w:r w:rsidR="003014E0" w:rsidRPr="003014E0">
        <w:rPr>
          <w:rFonts w:cs="Arial"/>
          <w:i/>
          <w:szCs w:val="20"/>
        </w:rPr>
        <w:t xml:space="preserve"> </w:t>
      </w:r>
      <w:proofErr w:type="spellStart"/>
      <w:r w:rsidR="003014E0" w:rsidRPr="003014E0">
        <w:rPr>
          <w:rFonts w:cs="Arial"/>
          <w:i/>
          <w:szCs w:val="20"/>
        </w:rPr>
        <w:t>annuus</w:t>
      </w:r>
      <w:proofErr w:type="spellEnd"/>
      <w:r w:rsidR="007339CF">
        <w:rPr>
          <w:rFonts w:cs="Arial"/>
          <w:szCs w:val="20"/>
        </w:rPr>
        <w:t xml:space="preserve"> L.)</w:t>
      </w:r>
      <w:r w:rsidR="007339CF">
        <w:rPr>
          <w:rFonts w:cs="Arial"/>
        </w:rPr>
        <w:t xml:space="preserve"> </w:t>
      </w:r>
      <w:r w:rsidR="00C8558D">
        <w:rPr>
          <w:rFonts w:cs="Arial"/>
          <w:szCs w:val="20"/>
        </w:rPr>
        <w:t xml:space="preserve">bitkisinin tohumlarından </w:t>
      </w:r>
      <w:proofErr w:type="gramStart"/>
      <w:r w:rsidR="00C8558D">
        <w:rPr>
          <w:rFonts w:cs="Arial"/>
          <w:szCs w:val="20"/>
        </w:rPr>
        <w:t>presleme</w:t>
      </w:r>
      <w:proofErr w:type="gramEnd"/>
      <w:r w:rsidR="00C8558D">
        <w:rPr>
          <w:rFonts w:cs="Arial"/>
          <w:szCs w:val="20"/>
        </w:rPr>
        <w:t xml:space="preserve">, </w:t>
      </w:r>
      <w:proofErr w:type="spellStart"/>
      <w:r w:rsidR="00C8558D">
        <w:rPr>
          <w:rFonts w:cs="Arial"/>
          <w:szCs w:val="20"/>
        </w:rPr>
        <w:t>özütleme</w:t>
      </w:r>
      <w:proofErr w:type="spellEnd"/>
      <w:r w:rsidR="00C8558D">
        <w:rPr>
          <w:rFonts w:cs="Arial"/>
          <w:szCs w:val="20"/>
        </w:rPr>
        <w:t xml:space="preserve"> vb. işlemler</w:t>
      </w:r>
      <w:r w:rsidR="00575032">
        <w:rPr>
          <w:rFonts w:cs="Arial"/>
          <w:szCs w:val="20"/>
        </w:rPr>
        <w:t xml:space="preserve">den geçirildikten sonra </w:t>
      </w:r>
      <w:proofErr w:type="spellStart"/>
      <w:r w:rsidR="00575032">
        <w:rPr>
          <w:rFonts w:cs="Arial"/>
          <w:szCs w:val="20"/>
        </w:rPr>
        <w:t>rafinasyona</w:t>
      </w:r>
      <w:proofErr w:type="spellEnd"/>
      <w:r w:rsidR="00575032">
        <w:rPr>
          <w:rFonts w:cs="Arial"/>
          <w:szCs w:val="20"/>
        </w:rPr>
        <w:t xml:space="preserve"> tabi tutularak elde edilen,</w:t>
      </w:r>
      <w:r w:rsidR="006122F3">
        <w:rPr>
          <w:rFonts w:cs="Arial"/>
          <w:szCs w:val="20"/>
        </w:rPr>
        <w:t xml:space="preserve"> gerektiğinde mevzuatına uygun katkı maddesi ve vitamin eklenmiş, </w:t>
      </w:r>
      <w:r w:rsidR="00575032">
        <w:rPr>
          <w:rFonts w:cs="Arial"/>
          <w:szCs w:val="20"/>
        </w:rPr>
        <w:t>berrak, sıvı h</w:t>
      </w:r>
      <w:r w:rsidR="00CD34CE">
        <w:rPr>
          <w:rFonts w:cs="Arial"/>
          <w:szCs w:val="20"/>
        </w:rPr>
        <w:t>â</w:t>
      </w:r>
      <w:r w:rsidR="00575032">
        <w:rPr>
          <w:rFonts w:cs="Arial"/>
          <w:szCs w:val="20"/>
        </w:rPr>
        <w:t>lde ve yağ asitleri yapısı değiştir</w:t>
      </w:r>
      <w:r w:rsidR="00CD34CE">
        <w:rPr>
          <w:rFonts w:cs="Arial"/>
          <w:szCs w:val="20"/>
        </w:rPr>
        <w:t>il</w:t>
      </w:r>
      <w:r w:rsidR="00575032">
        <w:rPr>
          <w:rFonts w:cs="Arial"/>
          <w:szCs w:val="20"/>
        </w:rPr>
        <w:t xml:space="preserve">mek </w:t>
      </w:r>
      <w:r w:rsidR="00CD34CE">
        <w:rPr>
          <w:rFonts w:cs="Arial"/>
          <w:szCs w:val="20"/>
        </w:rPr>
        <w:t xml:space="preserve">üzere </w:t>
      </w:r>
      <w:proofErr w:type="spellStart"/>
      <w:r w:rsidR="00575032">
        <w:rPr>
          <w:rFonts w:cs="Arial"/>
          <w:szCs w:val="20"/>
        </w:rPr>
        <w:t>esterleştirilmemiş</w:t>
      </w:r>
      <w:proofErr w:type="spellEnd"/>
      <w:r w:rsidR="00575032">
        <w:rPr>
          <w:rFonts w:cs="Arial"/>
          <w:szCs w:val="20"/>
        </w:rPr>
        <w:t xml:space="preserve"> yağ.</w:t>
      </w:r>
    </w:p>
    <w:p w:rsidR="00C97460" w:rsidRPr="002E4578" w:rsidRDefault="00C97460" w:rsidP="002E4578">
      <w:bookmarkStart w:id="22" w:name="_Toc265512927"/>
    </w:p>
    <w:p w:rsidR="00C97460" w:rsidRDefault="00C97460" w:rsidP="00786D32">
      <w:pPr>
        <w:pStyle w:val="Balk2"/>
        <w:rPr>
          <w:lang w:val="tr-TR" w:eastAsia="tr-TR"/>
        </w:rPr>
      </w:pPr>
      <w:bookmarkStart w:id="23" w:name="_Toc415903845"/>
      <w:r>
        <w:rPr>
          <w:lang w:val="tr-TR" w:eastAsia="tr-TR"/>
        </w:rPr>
        <w:t>3.2</w:t>
      </w:r>
      <w:r>
        <w:rPr>
          <w:lang w:val="tr-TR" w:eastAsia="tr-TR"/>
        </w:rPr>
        <w:tab/>
      </w:r>
      <w:r w:rsidRPr="009B56E7">
        <w:rPr>
          <w:lang w:val="tr-TR" w:eastAsia="tr-TR"/>
        </w:rPr>
        <w:t>Yabancı madde</w:t>
      </w:r>
      <w:bookmarkEnd w:id="22"/>
      <w:bookmarkEnd w:id="23"/>
    </w:p>
    <w:p w:rsidR="00C97460" w:rsidRPr="004D08F3" w:rsidRDefault="00C97460" w:rsidP="00C97460">
      <w:r>
        <w:t xml:space="preserve">Yemeklik </w:t>
      </w:r>
      <w:proofErr w:type="spellStart"/>
      <w:r>
        <w:t>ayçiçek</w:t>
      </w:r>
      <w:proofErr w:type="spellEnd"/>
      <w:r w:rsidRPr="004D08F3">
        <w:t xml:space="preserve"> yağın</w:t>
      </w:r>
      <w:r w:rsidR="007E7B50">
        <w:t xml:space="preserve">da kendisinden başka bulunan </w:t>
      </w:r>
      <w:r w:rsidRPr="00111616">
        <w:t xml:space="preserve">gözle görülebilir </w:t>
      </w:r>
      <w:r w:rsidRPr="004D08F3">
        <w:t>her türlü madde.</w:t>
      </w:r>
    </w:p>
    <w:p w:rsidR="00C97460" w:rsidRPr="00AA5F6F" w:rsidRDefault="00C97460" w:rsidP="00C8558D">
      <w:pPr>
        <w:rPr>
          <w:rFonts w:cs="Arial"/>
          <w:szCs w:val="20"/>
        </w:rPr>
      </w:pPr>
    </w:p>
    <w:p w:rsidR="00C8558D" w:rsidRPr="003014E0" w:rsidRDefault="00170D08" w:rsidP="004F4747">
      <w:pPr>
        <w:pStyle w:val="Balk1"/>
        <w:rPr>
          <w:snapToGrid w:val="0"/>
          <w:lang w:val="tr-TR"/>
        </w:rPr>
      </w:pPr>
      <w:bookmarkStart w:id="24" w:name="_Toc513191189"/>
      <w:bookmarkStart w:id="25" w:name="_Toc70739580"/>
      <w:bookmarkStart w:id="26" w:name="_Toc71082146"/>
      <w:bookmarkStart w:id="27" w:name="_Toc94964155"/>
      <w:bookmarkStart w:id="28" w:name="_Toc249189869"/>
      <w:bookmarkStart w:id="29" w:name="_Toc415903846"/>
      <w:r w:rsidRPr="003014E0">
        <w:rPr>
          <w:snapToGrid w:val="0"/>
          <w:lang w:val="tr-TR"/>
        </w:rPr>
        <w:t>4</w:t>
      </w:r>
      <w:r w:rsidR="00C8558D" w:rsidRPr="003014E0">
        <w:rPr>
          <w:snapToGrid w:val="0"/>
          <w:lang w:val="tr-TR"/>
        </w:rPr>
        <w:tab/>
        <w:t>Sınıflandırma ve özellikler</w:t>
      </w:r>
      <w:bookmarkEnd w:id="24"/>
      <w:bookmarkEnd w:id="25"/>
      <w:bookmarkEnd w:id="26"/>
      <w:bookmarkEnd w:id="27"/>
      <w:bookmarkEnd w:id="28"/>
      <w:bookmarkEnd w:id="29"/>
      <w:r w:rsidR="00C8558D" w:rsidRPr="003014E0">
        <w:rPr>
          <w:snapToGrid w:val="0"/>
          <w:lang w:val="tr-TR"/>
        </w:rPr>
        <w:t xml:space="preserve"> </w:t>
      </w:r>
    </w:p>
    <w:p w:rsidR="00C8558D" w:rsidRDefault="00C8558D" w:rsidP="00C8558D">
      <w:pPr>
        <w:pStyle w:val="T1"/>
        <w:rPr>
          <w:sz w:val="12"/>
          <w:szCs w:val="12"/>
          <w:lang w:val="tr-TR"/>
        </w:rPr>
      </w:pPr>
    </w:p>
    <w:p w:rsidR="00786D32" w:rsidRPr="00786D32" w:rsidRDefault="00786D32" w:rsidP="00786D32"/>
    <w:p w:rsidR="00C8558D" w:rsidRPr="003014E0" w:rsidRDefault="00170D08" w:rsidP="00786D32">
      <w:pPr>
        <w:pStyle w:val="Balk2"/>
        <w:rPr>
          <w:lang w:val="tr-TR" w:eastAsia="tr-TR"/>
        </w:rPr>
      </w:pPr>
      <w:bookmarkStart w:id="30" w:name="_Toc94964156"/>
      <w:bookmarkStart w:id="31" w:name="_Toc249189870"/>
      <w:bookmarkStart w:id="32" w:name="_Toc415903847"/>
      <w:r w:rsidRPr="003014E0">
        <w:rPr>
          <w:lang w:val="tr-TR" w:eastAsia="tr-TR"/>
        </w:rPr>
        <w:t>4</w:t>
      </w:r>
      <w:r w:rsidR="00C8558D" w:rsidRPr="003014E0">
        <w:rPr>
          <w:lang w:val="tr-TR" w:eastAsia="tr-TR"/>
        </w:rPr>
        <w:t>.1</w:t>
      </w:r>
      <w:r w:rsidR="00C8558D" w:rsidRPr="003014E0">
        <w:rPr>
          <w:lang w:val="tr-TR" w:eastAsia="tr-TR"/>
        </w:rPr>
        <w:tab/>
        <w:t>Sınıflandırma</w:t>
      </w:r>
      <w:bookmarkEnd w:id="30"/>
      <w:bookmarkEnd w:id="31"/>
      <w:bookmarkEnd w:id="32"/>
    </w:p>
    <w:p w:rsidR="00C8558D" w:rsidRDefault="00C8558D" w:rsidP="00C8558D">
      <w:pPr>
        <w:pStyle w:val="T1"/>
        <w:rPr>
          <w:sz w:val="12"/>
          <w:szCs w:val="12"/>
          <w:lang w:val="tr-TR"/>
        </w:rPr>
      </w:pPr>
    </w:p>
    <w:p w:rsidR="00786D32" w:rsidRPr="00786D32" w:rsidRDefault="00786D32" w:rsidP="00786D32"/>
    <w:p w:rsidR="00C8558D" w:rsidRPr="003014E0" w:rsidRDefault="00170D08" w:rsidP="003014E0">
      <w:pPr>
        <w:rPr>
          <w:b/>
          <w:bCs/>
          <w:sz w:val="22"/>
          <w:szCs w:val="20"/>
        </w:rPr>
      </w:pPr>
      <w:r w:rsidRPr="003014E0">
        <w:rPr>
          <w:b/>
          <w:bCs/>
          <w:sz w:val="22"/>
          <w:szCs w:val="20"/>
        </w:rPr>
        <w:t>4.</w:t>
      </w:r>
      <w:r w:rsidR="00C8558D" w:rsidRPr="003014E0">
        <w:rPr>
          <w:b/>
          <w:bCs/>
          <w:sz w:val="22"/>
          <w:szCs w:val="20"/>
        </w:rPr>
        <w:t>1.1</w:t>
      </w:r>
      <w:r w:rsidR="00C8558D" w:rsidRPr="003014E0">
        <w:rPr>
          <w:b/>
          <w:bCs/>
          <w:sz w:val="22"/>
          <w:szCs w:val="20"/>
        </w:rPr>
        <w:tab/>
      </w:r>
      <w:r w:rsidR="009F601D">
        <w:rPr>
          <w:b/>
          <w:bCs/>
          <w:sz w:val="22"/>
          <w:szCs w:val="20"/>
        </w:rPr>
        <w:t>Tipler</w:t>
      </w:r>
    </w:p>
    <w:p w:rsidR="009F601D" w:rsidRPr="009F601D" w:rsidRDefault="009F601D" w:rsidP="009F601D">
      <w:pPr>
        <w:rPr>
          <w:noProof/>
          <w:szCs w:val="20"/>
        </w:rPr>
      </w:pPr>
      <w:r w:rsidRPr="009F601D">
        <w:rPr>
          <w:noProof/>
          <w:szCs w:val="20"/>
        </w:rPr>
        <w:t>Ayçiçek yağı elde edildiği bitki tipine ve üretimde uygulanan yöntemlere göre</w:t>
      </w:r>
    </w:p>
    <w:p w:rsidR="009F601D" w:rsidRPr="009F601D" w:rsidRDefault="009F601D" w:rsidP="009F601D">
      <w:pPr>
        <w:numPr>
          <w:ilvl w:val="0"/>
          <w:numId w:val="30"/>
        </w:numPr>
        <w:rPr>
          <w:b/>
          <w:noProof/>
          <w:szCs w:val="20"/>
        </w:rPr>
      </w:pPr>
      <w:r w:rsidRPr="009F601D">
        <w:rPr>
          <w:noProof/>
          <w:szCs w:val="20"/>
        </w:rPr>
        <w:t>Tip 1 (Ayçiçek yağı)</w:t>
      </w:r>
      <w:r w:rsidR="00EF43C9">
        <w:rPr>
          <w:noProof/>
          <w:szCs w:val="20"/>
        </w:rPr>
        <w:t>,</w:t>
      </w:r>
    </w:p>
    <w:p w:rsidR="009F601D" w:rsidRPr="009F601D" w:rsidRDefault="009F601D" w:rsidP="009F601D">
      <w:pPr>
        <w:numPr>
          <w:ilvl w:val="0"/>
          <w:numId w:val="30"/>
        </w:numPr>
        <w:rPr>
          <w:b/>
          <w:noProof/>
          <w:szCs w:val="20"/>
        </w:rPr>
      </w:pPr>
      <w:r w:rsidRPr="009F601D">
        <w:rPr>
          <w:noProof/>
          <w:szCs w:val="20"/>
        </w:rPr>
        <w:t>Tip 2 (Yüksek oleik asit içerikli ayçiçek yağı)</w:t>
      </w:r>
    </w:p>
    <w:p w:rsidR="009F601D" w:rsidRPr="009F601D" w:rsidRDefault="009F601D" w:rsidP="009F601D">
      <w:pPr>
        <w:rPr>
          <w:noProof/>
          <w:szCs w:val="20"/>
        </w:rPr>
      </w:pPr>
      <w:r w:rsidRPr="009F601D">
        <w:rPr>
          <w:noProof/>
          <w:szCs w:val="20"/>
        </w:rPr>
        <w:t>olmak üzere iki tipe ayrılır</w:t>
      </w:r>
      <w:r w:rsidR="00C37C66">
        <w:rPr>
          <w:noProof/>
          <w:szCs w:val="20"/>
        </w:rPr>
        <w:t>.</w:t>
      </w:r>
    </w:p>
    <w:p w:rsidR="00C8558D" w:rsidRDefault="00C8558D" w:rsidP="00C8558D">
      <w:pPr>
        <w:autoSpaceDE w:val="0"/>
        <w:autoSpaceDN w:val="0"/>
        <w:adjustRightInd w:val="0"/>
        <w:rPr>
          <w:rFonts w:cs="Arial"/>
          <w:sz w:val="12"/>
          <w:szCs w:val="12"/>
        </w:rPr>
      </w:pPr>
    </w:p>
    <w:p w:rsidR="00786D32" w:rsidRPr="00133C0C" w:rsidRDefault="00786D32" w:rsidP="00C8558D">
      <w:pPr>
        <w:autoSpaceDE w:val="0"/>
        <w:autoSpaceDN w:val="0"/>
        <w:adjustRightInd w:val="0"/>
        <w:rPr>
          <w:rFonts w:cs="Arial"/>
          <w:sz w:val="12"/>
          <w:szCs w:val="12"/>
        </w:rPr>
      </w:pPr>
    </w:p>
    <w:p w:rsidR="00C8558D" w:rsidRPr="00C8558D" w:rsidRDefault="00170D08" w:rsidP="00C8558D">
      <w:pPr>
        <w:pStyle w:val="Balk2"/>
        <w:rPr>
          <w:lang w:val="tr-TR"/>
        </w:rPr>
      </w:pPr>
      <w:bookmarkStart w:id="33" w:name="_Toc94964157"/>
      <w:bookmarkStart w:id="34" w:name="_Toc249189871"/>
      <w:bookmarkStart w:id="35" w:name="_Toc415903848"/>
      <w:r>
        <w:rPr>
          <w:lang w:val="tr-TR"/>
        </w:rPr>
        <w:t>4.</w:t>
      </w:r>
      <w:r w:rsidR="00C8558D" w:rsidRPr="00C8558D">
        <w:rPr>
          <w:lang w:val="tr-TR"/>
        </w:rPr>
        <w:t>2</w:t>
      </w:r>
      <w:r w:rsidR="00C8558D">
        <w:rPr>
          <w:lang w:val="tr-TR"/>
        </w:rPr>
        <w:tab/>
      </w:r>
      <w:r w:rsidR="00C8558D" w:rsidRPr="00C8558D">
        <w:rPr>
          <w:lang w:val="tr-TR"/>
        </w:rPr>
        <w:t>Özellikler</w:t>
      </w:r>
      <w:bookmarkEnd w:id="33"/>
      <w:bookmarkEnd w:id="34"/>
      <w:bookmarkEnd w:id="35"/>
    </w:p>
    <w:p w:rsidR="00C8558D" w:rsidRDefault="00C8558D" w:rsidP="00C8558D">
      <w:pPr>
        <w:pStyle w:val="T1"/>
        <w:rPr>
          <w:sz w:val="12"/>
          <w:szCs w:val="12"/>
          <w:lang w:val="tr-TR"/>
        </w:rPr>
      </w:pPr>
    </w:p>
    <w:p w:rsidR="00786D32" w:rsidRPr="00786D32" w:rsidRDefault="00786D32" w:rsidP="00786D32"/>
    <w:p w:rsidR="00C8558D" w:rsidRPr="003014E0" w:rsidRDefault="00170D08" w:rsidP="003014E0">
      <w:pPr>
        <w:rPr>
          <w:b/>
          <w:bCs/>
          <w:sz w:val="22"/>
          <w:szCs w:val="20"/>
        </w:rPr>
      </w:pPr>
      <w:r w:rsidRPr="003014E0">
        <w:rPr>
          <w:b/>
          <w:bCs/>
          <w:sz w:val="22"/>
          <w:szCs w:val="20"/>
        </w:rPr>
        <w:t>4</w:t>
      </w:r>
      <w:r w:rsidR="00C8558D" w:rsidRPr="003014E0">
        <w:rPr>
          <w:b/>
          <w:bCs/>
          <w:sz w:val="22"/>
          <w:szCs w:val="20"/>
        </w:rPr>
        <w:t>.2.1</w:t>
      </w:r>
      <w:r w:rsidR="00C8558D" w:rsidRPr="003014E0">
        <w:rPr>
          <w:b/>
          <w:bCs/>
          <w:sz w:val="22"/>
          <w:szCs w:val="20"/>
        </w:rPr>
        <w:tab/>
        <w:t>Duyusal özellikler</w:t>
      </w:r>
    </w:p>
    <w:p w:rsidR="007A1BC7" w:rsidRPr="007A1BC7" w:rsidRDefault="007A1BC7" w:rsidP="007A1BC7">
      <w:pPr>
        <w:keepNext/>
        <w:tabs>
          <w:tab w:val="left" w:pos="567"/>
        </w:tabs>
        <w:outlineLvl w:val="2"/>
        <w:rPr>
          <w:color w:val="000000"/>
          <w:szCs w:val="20"/>
        </w:rPr>
      </w:pPr>
      <w:r w:rsidRPr="007A1BC7">
        <w:rPr>
          <w:color w:val="000000"/>
          <w:szCs w:val="20"/>
        </w:rPr>
        <w:t>Ayçiçek yağı</w:t>
      </w:r>
      <w:r>
        <w:rPr>
          <w:color w:val="000000"/>
          <w:szCs w:val="20"/>
        </w:rPr>
        <w:t>nın</w:t>
      </w:r>
      <w:r w:rsidRPr="007A1BC7">
        <w:rPr>
          <w:color w:val="000000"/>
          <w:szCs w:val="20"/>
        </w:rPr>
        <w:t xml:space="preserve"> duyusal özellikleri Çizelge 1’de verilen değerlere uygun olmalıdır.</w:t>
      </w:r>
    </w:p>
    <w:p w:rsidR="007A1BC7" w:rsidRPr="007A1BC7" w:rsidRDefault="007A1BC7" w:rsidP="007A1BC7">
      <w:pPr>
        <w:keepNext/>
        <w:tabs>
          <w:tab w:val="left" w:pos="567"/>
        </w:tabs>
        <w:outlineLvl w:val="2"/>
        <w:rPr>
          <w:color w:val="000000"/>
          <w:szCs w:val="20"/>
        </w:rPr>
      </w:pPr>
    </w:p>
    <w:p w:rsidR="007A1BC7" w:rsidRDefault="007A1BC7" w:rsidP="007A1BC7">
      <w:pPr>
        <w:keepNext/>
        <w:tabs>
          <w:tab w:val="left" w:pos="567"/>
        </w:tabs>
        <w:outlineLvl w:val="2"/>
        <w:rPr>
          <w:color w:val="000000"/>
          <w:szCs w:val="20"/>
        </w:rPr>
      </w:pPr>
      <w:r w:rsidRPr="007A1BC7">
        <w:rPr>
          <w:b/>
          <w:color w:val="000000"/>
          <w:szCs w:val="20"/>
        </w:rPr>
        <w:t>Çizelge 1</w:t>
      </w:r>
      <w:r w:rsidRPr="007A1BC7">
        <w:rPr>
          <w:color w:val="000000"/>
          <w:szCs w:val="20"/>
        </w:rPr>
        <w:t xml:space="preserve"> - Ayçiçek yağı</w:t>
      </w:r>
      <w:r>
        <w:rPr>
          <w:color w:val="000000"/>
          <w:szCs w:val="20"/>
        </w:rPr>
        <w:t>nın</w:t>
      </w:r>
      <w:r w:rsidRPr="007A1BC7">
        <w:rPr>
          <w:color w:val="000000"/>
          <w:szCs w:val="20"/>
        </w:rPr>
        <w:t xml:space="preserve"> duyusal özellikleri</w:t>
      </w:r>
    </w:p>
    <w:p w:rsidR="00786D32" w:rsidRPr="007A1BC7" w:rsidRDefault="00786D32" w:rsidP="007A1BC7">
      <w:pPr>
        <w:keepNext/>
        <w:tabs>
          <w:tab w:val="left" w:pos="567"/>
        </w:tabs>
        <w:outlineLvl w:val="2"/>
        <w:rPr>
          <w:color w:val="00000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087"/>
      </w:tblGrid>
      <w:tr w:rsidR="007A1BC7" w:rsidRPr="007A1BC7" w:rsidTr="00495F71">
        <w:tc>
          <w:tcPr>
            <w:tcW w:w="1985" w:type="dxa"/>
          </w:tcPr>
          <w:p w:rsidR="007A1BC7" w:rsidRPr="007A1BC7" w:rsidRDefault="007A1BC7" w:rsidP="007A1BC7">
            <w:pPr>
              <w:jc w:val="left"/>
              <w:rPr>
                <w:b/>
                <w:szCs w:val="20"/>
              </w:rPr>
            </w:pPr>
            <w:r w:rsidRPr="007A1BC7">
              <w:rPr>
                <w:b/>
                <w:szCs w:val="20"/>
              </w:rPr>
              <w:t>Özellik</w:t>
            </w:r>
          </w:p>
        </w:tc>
        <w:tc>
          <w:tcPr>
            <w:tcW w:w="7087" w:type="dxa"/>
          </w:tcPr>
          <w:p w:rsidR="007A1BC7" w:rsidRPr="007A1BC7" w:rsidRDefault="007A1BC7" w:rsidP="007A1BC7">
            <w:pPr>
              <w:jc w:val="center"/>
              <w:rPr>
                <w:b/>
                <w:szCs w:val="20"/>
              </w:rPr>
            </w:pPr>
            <w:r w:rsidRPr="007A1BC7">
              <w:rPr>
                <w:b/>
                <w:szCs w:val="20"/>
              </w:rPr>
              <w:t>Değer</w:t>
            </w:r>
          </w:p>
        </w:tc>
      </w:tr>
      <w:tr w:rsidR="007A1BC7" w:rsidRPr="007A1BC7" w:rsidTr="00495F71">
        <w:tc>
          <w:tcPr>
            <w:tcW w:w="1985" w:type="dxa"/>
          </w:tcPr>
          <w:p w:rsidR="007A1BC7" w:rsidRPr="007A1BC7" w:rsidRDefault="007A1BC7" w:rsidP="007A1BC7">
            <w:pPr>
              <w:jc w:val="left"/>
              <w:rPr>
                <w:szCs w:val="20"/>
              </w:rPr>
            </w:pPr>
            <w:r w:rsidRPr="007A1BC7">
              <w:rPr>
                <w:szCs w:val="20"/>
              </w:rPr>
              <w:t>Renk ve görünüş</w:t>
            </w:r>
          </w:p>
        </w:tc>
        <w:tc>
          <w:tcPr>
            <w:tcW w:w="7087" w:type="dxa"/>
          </w:tcPr>
          <w:p w:rsidR="007A1BC7" w:rsidRPr="007A1BC7" w:rsidRDefault="007A1BC7" w:rsidP="00C35CEC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7A1BC7">
              <w:rPr>
                <w:szCs w:val="20"/>
              </w:rPr>
              <w:t>çık sarı renkte, berrak görünüşte</w:t>
            </w:r>
            <w:r>
              <w:rPr>
                <w:szCs w:val="20"/>
              </w:rPr>
              <w:t xml:space="preserve"> ve kendine özgü akışkanlıkta</w:t>
            </w:r>
            <w:r w:rsidRPr="007A1BC7">
              <w:rPr>
                <w:szCs w:val="20"/>
              </w:rPr>
              <w:t xml:space="preserve"> olmalıdır.</w:t>
            </w:r>
          </w:p>
        </w:tc>
      </w:tr>
      <w:tr w:rsidR="007A1BC7" w:rsidRPr="007A1BC7" w:rsidTr="00495F71">
        <w:tc>
          <w:tcPr>
            <w:tcW w:w="1985" w:type="dxa"/>
          </w:tcPr>
          <w:p w:rsidR="007A1BC7" w:rsidRPr="007A1BC7" w:rsidRDefault="007A1BC7" w:rsidP="007A1BC7">
            <w:pPr>
              <w:jc w:val="left"/>
              <w:rPr>
                <w:szCs w:val="20"/>
              </w:rPr>
            </w:pPr>
            <w:r w:rsidRPr="007A1BC7">
              <w:rPr>
                <w:szCs w:val="20"/>
              </w:rPr>
              <w:t>Tat ve koku</w:t>
            </w:r>
          </w:p>
        </w:tc>
        <w:tc>
          <w:tcPr>
            <w:tcW w:w="7087" w:type="dxa"/>
          </w:tcPr>
          <w:p w:rsidR="007A1BC7" w:rsidRPr="007A1BC7" w:rsidRDefault="007A1BC7" w:rsidP="00C35CEC">
            <w:pPr>
              <w:jc w:val="left"/>
              <w:rPr>
                <w:szCs w:val="20"/>
              </w:rPr>
            </w:pPr>
            <w:r w:rsidRPr="007A1BC7">
              <w:rPr>
                <w:iCs/>
                <w:szCs w:val="20"/>
              </w:rPr>
              <w:t xml:space="preserve">Kendine özgü tat ve kokuda olmalı, yabancı tat ve koku ihtiva etmemelidir. </w:t>
            </w:r>
          </w:p>
        </w:tc>
      </w:tr>
      <w:tr w:rsidR="007A1BC7" w:rsidRPr="007A1BC7" w:rsidTr="00495F71">
        <w:tc>
          <w:tcPr>
            <w:tcW w:w="1985" w:type="dxa"/>
          </w:tcPr>
          <w:p w:rsidR="007A1BC7" w:rsidRPr="007A1BC7" w:rsidRDefault="007A1BC7" w:rsidP="007A1BC7">
            <w:pPr>
              <w:jc w:val="left"/>
              <w:rPr>
                <w:szCs w:val="20"/>
              </w:rPr>
            </w:pPr>
            <w:r w:rsidRPr="007A1BC7">
              <w:rPr>
                <w:szCs w:val="20"/>
              </w:rPr>
              <w:t>Yabancı madde</w:t>
            </w:r>
          </w:p>
        </w:tc>
        <w:tc>
          <w:tcPr>
            <w:tcW w:w="7087" w:type="dxa"/>
          </w:tcPr>
          <w:p w:rsidR="007A1BC7" w:rsidRPr="007A1BC7" w:rsidRDefault="007A1BC7" w:rsidP="007A1BC7">
            <w:pPr>
              <w:jc w:val="left"/>
              <w:rPr>
                <w:iCs/>
                <w:szCs w:val="20"/>
              </w:rPr>
            </w:pPr>
            <w:r w:rsidRPr="007A1BC7">
              <w:rPr>
                <w:iCs/>
                <w:szCs w:val="20"/>
              </w:rPr>
              <w:t>Bulunmamalıdır.</w:t>
            </w:r>
          </w:p>
        </w:tc>
      </w:tr>
    </w:tbl>
    <w:p w:rsidR="00D915EF" w:rsidRDefault="00D915EF" w:rsidP="00C8558D">
      <w:pPr>
        <w:rPr>
          <w:rFonts w:cs="Arial"/>
          <w:color w:val="000000"/>
          <w:szCs w:val="20"/>
        </w:rPr>
      </w:pPr>
    </w:p>
    <w:p w:rsidR="00C8558D" w:rsidRPr="003014E0" w:rsidRDefault="00170D08" w:rsidP="003014E0">
      <w:pPr>
        <w:rPr>
          <w:b/>
          <w:bCs/>
          <w:sz w:val="22"/>
          <w:szCs w:val="20"/>
        </w:rPr>
      </w:pPr>
      <w:bookmarkStart w:id="36" w:name="_Toc71082155"/>
      <w:r w:rsidRPr="003014E0">
        <w:rPr>
          <w:b/>
          <w:bCs/>
          <w:sz w:val="22"/>
          <w:szCs w:val="20"/>
        </w:rPr>
        <w:t>4.</w:t>
      </w:r>
      <w:r w:rsidR="00C8558D" w:rsidRPr="003014E0">
        <w:rPr>
          <w:b/>
          <w:bCs/>
          <w:sz w:val="22"/>
          <w:szCs w:val="20"/>
        </w:rPr>
        <w:t>2.2</w:t>
      </w:r>
      <w:r w:rsidR="00C8558D" w:rsidRPr="003014E0">
        <w:rPr>
          <w:b/>
          <w:bCs/>
          <w:sz w:val="22"/>
          <w:szCs w:val="20"/>
        </w:rPr>
        <w:tab/>
      </w:r>
      <w:r w:rsidR="007339CF" w:rsidRPr="003014E0">
        <w:rPr>
          <w:b/>
          <w:bCs/>
          <w:sz w:val="22"/>
          <w:szCs w:val="20"/>
        </w:rPr>
        <w:t>Kimyasal</w:t>
      </w:r>
      <w:r w:rsidR="007A3873">
        <w:rPr>
          <w:b/>
          <w:bCs/>
          <w:sz w:val="22"/>
          <w:szCs w:val="20"/>
        </w:rPr>
        <w:t xml:space="preserve"> ve fiziksel</w:t>
      </w:r>
      <w:r w:rsidR="00C8558D" w:rsidRPr="003014E0">
        <w:rPr>
          <w:b/>
          <w:bCs/>
          <w:sz w:val="22"/>
          <w:szCs w:val="20"/>
        </w:rPr>
        <w:t xml:space="preserve"> özellikler</w:t>
      </w:r>
      <w:bookmarkEnd w:id="36"/>
      <w:r w:rsidR="00C8558D" w:rsidRPr="003014E0">
        <w:rPr>
          <w:b/>
          <w:bCs/>
          <w:sz w:val="22"/>
          <w:szCs w:val="20"/>
        </w:rPr>
        <w:t xml:space="preserve">  </w:t>
      </w:r>
    </w:p>
    <w:p w:rsidR="00C8558D" w:rsidRDefault="00C8558D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Ayçiçek yağının kimyasal</w:t>
      </w:r>
      <w:r w:rsidR="007A3873">
        <w:rPr>
          <w:rFonts w:cs="Arial"/>
          <w:color w:val="000000"/>
          <w:szCs w:val="20"/>
        </w:rPr>
        <w:t xml:space="preserve"> ve fiziksel</w:t>
      </w:r>
      <w:r>
        <w:rPr>
          <w:rFonts w:cs="Arial"/>
          <w:color w:val="000000"/>
          <w:szCs w:val="20"/>
        </w:rPr>
        <w:t xml:space="preserve"> özellikleri Çizelge </w:t>
      </w:r>
      <w:r w:rsidR="0036708D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 xml:space="preserve">'de verilen değerlere uygun olmalıdır. </w:t>
      </w:r>
    </w:p>
    <w:p w:rsidR="00C8558D" w:rsidRPr="00133C0C" w:rsidRDefault="00C8558D" w:rsidP="00C8558D">
      <w:pPr>
        <w:rPr>
          <w:rFonts w:cs="Arial"/>
          <w:b/>
          <w:sz w:val="12"/>
          <w:szCs w:val="12"/>
        </w:rPr>
      </w:pPr>
    </w:p>
    <w:p w:rsidR="00786D32" w:rsidRDefault="00786D32">
      <w:pPr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:rsidR="00C8558D" w:rsidRDefault="00C8558D" w:rsidP="00C8558D">
      <w:pPr>
        <w:rPr>
          <w:rFonts w:cs="Arial"/>
          <w:szCs w:val="20"/>
        </w:rPr>
      </w:pPr>
      <w:r>
        <w:rPr>
          <w:rFonts w:cs="Arial"/>
          <w:b/>
          <w:szCs w:val="20"/>
        </w:rPr>
        <w:t xml:space="preserve">Çizelge </w:t>
      </w:r>
      <w:r w:rsidR="0036708D">
        <w:rPr>
          <w:rFonts w:cs="Arial"/>
          <w:b/>
          <w:szCs w:val="20"/>
        </w:rPr>
        <w:t>2</w:t>
      </w:r>
      <w:r w:rsidR="007862A3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- Ayçiçek yağının kimyasal</w:t>
      </w:r>
      <w:r w:rsidR="007A3873">
        <w:rPr>
          <w:rFonts w:cs="Arial"/>
          <w:szCs w:val="20"/>
        </w:rPr>
        <w:t xml:space="preserve"> ve fiziksel</w:t>
      </w:r>
      <w:r>
        <w:rPr>
          <w:rFonts w:cs="Arial"/>
          <w:szCs w:val="20"/>
        </w:rPr>
        <w:t xml:space="preserve"> özellikleri</w:t>
      </w:r>
    </w:p>
    <w:p w:rsidR="00C8558D" w:rsidRPr="00133C0C" w:rsidRDefault="00C8558D" w:rsidP="00C8558D">
      <w:pPr>
        <w:rPr>
          <w:rFonts w:cs="Arial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842"/>
        <w:gridCol w:w="1733"/>
        <w:tblGridChange w:id="37">
          <w:tblGrid>
            <w:gridCol w:w="5637"/>
            <w:gridCol w:w="1842"/>
            <w:gridCol w:w="1733"/>
          </w:tblGrid>
        </w:tblGridChange>
      </w:tblGrid>
      <w:tr w:rsidR="009F601D" w:rsidRPr="009F601D" w:rsidTr="00E12424">
        <w:tc>
          <w:tcPr>
            <w:tcW w:w="5637" w:type="dxa"/>
            <w:vMerge w:val="restart"/>
            <w:shd w:val="clear" w:color="auto" w:fill="auto"/>
            <w:vAlign w:val="center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bookmarkStart w:id="38" w:name="_Toc94964158"/>
            <w:bookmarkStart w:id="39" w:name="_Toc249189872"/>
            <w:r w:rsidRPr="009F601D">
              <w:rPr>
                <w:rFonts w:cs="Arial"/>
                <w:noProof/>
                <w:szCs w:val="20"/>
              </w:rPr>
              <w:t>Özellik</w:t>
            </w:r>
          </w:p>
        </w:tc>
        <w:tc>
          <w:tcPr>
            <w:tcW w:w="3575" w:type="dxa"/>
            <w:gridSpan w:val="2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Değer</w:t>
            </w:r>
          </w:p>
        </w:tc>
      </w:tr>
      <w:tr w:rsidR="009F601D" w:rsidRPr="009F601D" w:rsidTr="00E12424">
        <w:tc>
          <w:tcPr>
            <w:tcW w:w="5637" w:type="dxa"/>
            <w:vMerge/>
            <w:shd w:val="clear" w:color="auto" w:fill="auto"/>
          </w:tcPr>
          <w:p w:rsidR="009F601D" w:rsidRPr="009F601D" w:rsidRDefault="009F601D" w:rsidP="009F601D">
            <w:pPr>
              <w:rPr>
                <w:noProof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Tip 1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Tip 2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</w:tcPr>
          <w:p w:rsidR="009F601D" w:rsidRPr="009F601D" w:rsidRDefault="009F601D" w:rsidP="009F601D">
            <w:pPr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Özgül ağırlık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 xml:space="preserve">0,914 - 0,923 </w:t>
            </w:r>
            <w:r w:rsidRPr="009F601D">
              <w:rPr>
                <w:rFonts w:cs="Arial"/>
                <w:noProof/>
                <w:szCs w:val="20"/>
              </w:rPr>
              <w:br/>
              <w:t xml:space="preserve">(20 </w:t>
            </w:r>
            <w:r w:rsidRPr="009F601D">
              <w:rPr>
                <w:rFonts w:cs="Arial"/>
                <w:noProof/>
                <w:szCs w:val="20"/>
                <w:vertAlign w:val="superscript"/>
              </w:rPr>
              <w:t>o</w:t>
            </w:r>
            <w:r w:rsidRPr="009F601D">
              <w:rPr>
                <w:rFonts w:cs="Arial"/>
                <w:noProof/>
                <w:szCs w:val="20"/>
              </w:rPr>
              <w:t>C/ 20</w:t>
            </w:r>
            <w:r w:rsidRPr="009F601D">
              <w:rPr>
                <w:rFonts w:cs="Arial"/>
                <w:noProof/>
                <w:szCs w:val="20"/>
                <w:vertAlign w:val="superscript"/>
              </w:rPr>
              <w:t xml:space="preserve"> o</w:t>
            </w:r>
            <w:r w:rsidRPr="009F601D">
              <w:rPr>
                <w:rFonts w:cs="Arial"/>
                <w:noProof/>
                <w:szCs w:val="20"/>
              </w:rPr>
              <w:t>C su)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 xml:space="preserve">0,909 - 0,915 </w:t>
            </w:r>
            <w:r w:rsidRPr="009F601D">
              <w:rPr>
                <w:rFonts w:cs="Arial"/>
                <w:noProof/>
                <w:szCs w:val="20"/>
              </w:rPr>
              <w:br/>
              <w:t xml:space="preserve">(25 </w:t>
            </w:r>
            <w:r w:rsidRPr="009F601D">
              <w:rPr>
                <w:rFonts w:cs="Arial"/>
                <w:noProof/>
                <w:szCs w:val="20"/>
                <w:vertAlign w:val="superscript"/>
              </w:rPr>
              <w:t>o</w:t>
            </w:r>
            <w:r w:rsidRPr="009F601D">
              <w:rPr>
                <w:rFonts w:cs="Arial"/>
                <w:noProof/>
                <w:szCs w:val="20"/>
              </w:rPr>
              <w:t>C/20</w:t>
            </w:r>
            <w:r w:rsidRPr="009F601D">
              <w:rPr>
                <w:rFonts w:cs="Arial"/>
                <w:noProof/>
                <w:szCs w:val="20"/>
                <w:vertAlign w:val="superscript"/>
              </w:rPr>
              <w:t xml:space="preserve"> o</w:t>
            </w:r>
            <w:r w:rsidRPr="009F601D">
              <w:rPr>
                <w:rFonts w:cs="Arial"/>
                <w:noProof/>
                <w:szCs w:val="20"/>
              </w:rPr>
              <w:t>C su)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</w:tcPr>
          <w:p w:rsidR="009F601D" w:rsidRPr="009F601D" w:rsidRDefault="009F601D" w:rsidP="009F601D">
            <w:pPr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Kırılma indisi, (n</w:t>
            </w:r>
            <w:r w:rsidRPr="009F601D">
              <w:rPr>
                <w:rFonts w:cs="Arial"/>
                <w:noProof/>
                <w:szCs w:val="20"/>
                <w:vertAlign w:val="subscript"/>
              </w:rPr>
              <w:t>D</w:t>
            </w:r>
            <w:r w:rsidRPr="009F601D">
              <w:rPr>
                <w:rFonts w:cs="Arial"/>
                <w:noProof/>
                <w:szCs w:val="20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1,461-1,471</w:t>
            </w:r>
          </w:p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 xml:space="preserve">(40 </w:t>
            </w:r>
            <w:r w:rsidRPr="009F601D">
              <w:rPr>
                <w:rFonts w:cs="Arial"/>
                <w:noProof/>
                <w:szCs w:val="20"/>
                <w:vertAlign w:val="superscript"/>
              </w:rPr>
              <w:t>o</w:t>
            </w:r>
            <w:r w:rsidRPr="009F601D">
              <w:rPr>
                <w:rFonts w:cs="Arial"/>
                <w:noProof/>
                <w:szCs w:val="20"/>
              </w:rPr>
              <w:t>C)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 xml:space="preserve">1,467 - 1,471 (25 </w:t>
            </w:r>
            <w:r w:rsidRPr="009F601D">
              <w:rPr>
                <w:rFonts w:cs="Arial"/>
                <w:noProof/>
                <w:szCs w:val="20"/>
                <w:vertAlign w:val="superscript"/>
              </w:rPr>
              <w:t>o</w:t>
            </w:r>
            <w:r w:rsidRPr="009F601D">
              <w:rPr>
                <w:rFonts w:cs="Arial"/>
                <w:noProof/>
                <w:szCs w:val="20"/>
              </w:rPr>
              <w:t>C)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Sabunlaşma sayısı,</w:t>
            </w:r>
            <w:r w:rsidRPr="009F601D">
              <w:rPr>
                <w:rFonts w:cs="Arial"/>
                <w:noProof/>
                <w:color w:val="000000"/>
                <w:szCs w:val="20"/>
              </w:rPr>
              <w:t xml:space="preserve"> (mg KOH/g)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188 -194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182 - 194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</w:tcPr>
          <w:p w:rsidR="009F601D" w:rsidRPr="009F601D" w:rsidRDefault="009F601D" w:rsidP="009F601D">
            <w:pPr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>İyot sayısı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94 -141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78 - 90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</w:tcPr>
          <w:p w:rsidR="009F601D" w:rsidRPr="009F601D" w:rsidRDefault="009F601D" w:rsidP="009F601D">
            <w:pPr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>Sabunlaşmayan madde, (g/kg), en çok</w:t>
            </w:r>
          </w:p>
        </w:tc>
        <w:tc>
          <w:tcPr>
            <w:tcW w:w="3575" w:type="dxa"/>
            <w:gridSpan w:val="2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noProof/>
                <w:szCs w:val="20"/>
              </w:rPr>
            </w:pPr>
            <w:r w:rsidRPr="009F601D">
              <w:rPr>
                <w:noProof/>
                <w:szCs w:val="20"/>
              </w:rPr>
              <w:t>15</w:t>
            </w:r>
          </w:p>
        </w:tc>
      </w:tr>
      <w:tr w:rsidR="009F601D" w:rsidRPr="009F601D" w:rsidTr="00E12424">
        <w:tc>
          <w:tcPr>
            <w:tcW w:w="9212" w:type="dxa"/>
            <w:gridSpan w:val="3"/>
            <w:shd w:val="clear" w:color="auto" w:fill="auto"/>
          </w:tcPr>
          <w:p w:rsidR="009F601D" w:rsidRPr="009F601D" w:rsidRDefault="009F601D" w:rsidP="009F601D">
            <w:pPr>
              <w:rPr>
                <w:noProof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>Yağ asitleri bileşimi, (toplam metil esteri cinsinden), % (m/m)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-Laurik asit (C12:0), en çok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0,1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tabs>
                <w:tab w:val="left" w:pos="974"/>
                <w:tab w:val="center" w:pos="1042"/>
              </w:tabs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aranmaz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-Miristik asit (C14:0), en çok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1,0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0,1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-Palmitik asit (C16:0)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4,0 -7,6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2,6 - 5,0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-Palmitoleik asit (C16:1), en çok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0,3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0,1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-Margarik asit (C17:0), en çok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0,2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0,1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-Heptadesenoik asit (C17:1), en çok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0,1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0,1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-Stearik asit (C18:0)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2,1 - 6,5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2,9 - 6,2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-Oleik asit (C18:1)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14,0 – 71,8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75 - 90,7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-Linoleik asit (C18:2)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18,7 - 74,0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2,1 - 17,0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-Linolenik asit (C18:3), en çok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0,5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0,3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-Araşidik asit (C20:0)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0,1 - 0,5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0,2 - 0,5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>- Gadeloik asit (C20:1)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0-0,3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0,1 – 0,5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-Behenik asit (C22:0)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0,3  - 1,5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0,5 - 1,6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-Erusik asit (C22:1), en çok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0,3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0,3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-Dekosedienoik asit (C22:2), en çok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0,3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aranmaz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 xml:space="preserve"> -Lignoserik asit (C24:0), en çok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0,5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0,5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>Rutubet ve uçucu madde, % (m/m), en çok</w:t>
            </w:r>
          </w:p>
        </w:tc>
        <w:tc>
          <w:tcPr>
            <w:tcW w:w="3575" w:type="dxa"/>
            <w:gridSpan w:val="2"/>
            <w:shd w:val="clear" w:color="auto" w:fill="auto"/>
            <w:vAlign w:val="center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0,2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>Çözünmeyen safsızlıklar, % (m/m), en çok</w:t>
            </w:r>
          </w:p>
        </w:tc>
        <w:tc>
          <w:tcPr>
            <w:tcW w:w="3575" w:type="dxa"/>
            <w:gridSpan w:val="2"/>
            <w:shd w:val="clear" w:color="auto" w:fill="auto"/>
            <w:vAlign w:val="center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0,05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>Sabun oranı, % (m/m), en çok</w:t>
            </w:r>
          </w:p>
        </w:tc>
        <w:tc>
          <w:tcPr>
            <w:tcW w:w="3575" w:type="dxa"/>
            <w:gridSpan w:val="2"/>
            <w:shd w:val="clear" w:color="auto" w:fill="auto"/>
            <w:vAlign w:val="center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0,005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1C58E4" w:rsidP="009F601D">
            <w:pPr>
              <w:rPr>
                <w:rFonts w:cs="Arial"/>
                <w:noProof/>
                <w:color w:val="000000"/>
                <w:szCs w:val="20"/>
              </w:rPr>
            </w:pPr>
            <w:r>
              <w:rPr>
                <w:rFonts w:cs="Arial"/>
                <w:noProof/>
                <w:color w:val="000000"/>
                <w:szCs w:val="20"/>
              </w:rPr>
              <w:t>Serbest yağ asitleri</w:t>
            </w:r>
            <w:r w:rsidR="009F601D" w:rsidRPr="009F601D">
              <w:rPr>
                <w:rFonts w:cs="Arial"/>
                <w:noProof/>
                <w:color w:val="000000"/>
                <w:szCs w:val="20"/>
              </w:rPr>
              <w:t>, (oleik asit cinsinden), % (m/m), en çok</w:t>
            </w:r>
          </w:p>
        </w:tc>
        <w:tc>
          <w:tcPr>
            <w:tcW w:w="3575" w:type="dxa"/>
            <w:gridSpan w:val="2"/>
            <w:shd w:val="clear" w:color="auto" w:fill="auto"/>
            <w:vAlign w:val="center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0,3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>Peroksit sayısı, milieşdeğer (O</w:t>
            </w:r>
            <w:r w:rsidRPr="009F601D">
              <w:rPr>
                <w:rFonts w:cs="Arial"/>
                <w:noProof/>
                <w:color w:val="000000"/>
                <w:szCs w:val="20"/>
                <w:vertAlign w:val="subscript"/>
              </w:rPr>
              <w:t>2</w:t>
            </w:r>
            <w:r w:rsidRPr="009F601D">
              <w:rPr>
                <w:rFonts w:cs="Arial"/>
                <w:noProof/>
                <w:color w:val="000000"/>
                <w:szCs w:val="20"/>
              </w:rPr>
              <w:t>/kg), en çok</w:t>
            </w:r>
          </w:p>
        </w:tc>
        <w:tc>
          <w:tcPr>
            <w:tcW w:w="3575" w:type="dxa"/>
            <w:gridSpan w:val="2"/>
            <w:shd w:val="clear" w:color="auto" w:fill="auto"/>
            <w:vAlign w:val="center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10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9F601D">
            <w:pPr>
              <w:rPr>
                <w:rFonts w:cs="Arial"/>
                <w:noProof/>
                <w:color w:val="000000"/>
                <w:szCs w:val="20"/>
              </w:rPr>
            </w:pPr>
            <w:r w:rsidRPr="009F601D">
              <w:rPr>
                <w:rFonts w:cs="Arial"/>
                <w:noProof/>
                <w:color w:val="000000"/>
                <w:szCs w:val="20"/>
              </w:rPr>
              <w:t>Kurşun (mg/kg), en çok</w:t>
            </w:r>
          </w:p>
        </w:tc>
        <w:tc>
          <w:tcPr>
            <w:tcW w:w="3575" w:type="dxa"/>
            <w:gridSpan w:val="2"/>
            <w:shd w:val="clear" w:color="auto" w:fill="auto"/>
            <w:vAlign w:val="center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0,1</w:t>
            </w:r>
          </w:p>
        </w:tc>
      </w:tr>
      <w:tr w:rsidR="009F601D" w:rsidRPr="009F601D" w:rsidTr="00E12424">
        <w:tc>
          <w:tcPr>
            <w:tcW w:w="5637" w:type="dxa"/>
            <w:shd w:val="clear" w:color="auto" w:fill="auto"/>
            <w:vAlign w:val="center"/>
          </w:tcPr>
          <w:p w:rsidR="009F601D" w:rsidRPr="009F601D" w:rsidRDefault="009F601D" w:rsidP="00495F71">
            <w:pPr>
              <w:tabs>
                <w:tab w:val="left" w:pos="292"/>
              </w:tabs>
              <w:rPr>
                <w:rFonts w:cs="Arial"/>
                <w:noProof/>
                <w:color w:val="000000"/>
                <w:szCs w:val="20"/>
                <w:lang w:val="en-US"/>
              </w:rPr>
            </w:pPr>
            <w:r w:rsidRPr="009F601D">
              <w:rPr>
                <w:rFonts w:cs="Arial"/>
                <w:noProof/>
                <w:color w:val="000000"/>
                <w:szCs w:val="20"/>
                <w:lang w:val="en-US"/>
              </w:rPr>
              <w:t xml:space="preserve">Toplam sterol (mg/kg) </w:t>
            </w:r>
          </w:p>
        </w:tc>
        <w:tc>
          <w:tcPr>
            <w:tcW w:w="1842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2400 - 5000</w:t>
            </w:r>
          </w:p>
        </w:tc>
        <w:tc>
          <w:tcPr>
            <w:tcW w:w="1733" w:type="dxa"/>
            <w:shd w:val="clear" w:color="auto" w:fill="auto"/>
          </w:tcPr>
          <w:p w:rsidR="009F601D" w:rsidRPr="009F601D" w:rsidRDefault="009F601D" w:rsidP="009F601D">
            <w:pPr>
              <w:jc w:val="center"/>
              <w:rPr>
                <w:rFonts w:cs="Arial"/>
                <w:noProof/>
                <w:szCs w:val="20"/>
              </w:rPr>
            </w:pPr>
            <w:r w:rsidRPr="009F601D">
              <w:rPr>
                <w:rFonts w:cs="Arial"/>
                <w:noProof/>
                <w:szCs w:val="20"/>
              </w:rPr>
              <w:t>1700 - 5200</w:t>
            </w:r>
          </w:p>
        </w:tc>
      </w:tr>
    </w:tbl>
    <w:p w:rsidR="00253CFF" w:rsidRDefault="00253CFF" w:rsidP="003E0764">
      <w:pPr>
        <w:pStyle w:val="Balk2"/>
        <w:rPr>
          <w:lang w:val="tr-TR"/>
        </w:rPr>
      </w:pPr>
    </w:p>
    <w:p w:rsidR="00C8558D" w:rsidRPr="003E0764" w:rsidRDefault="002E4578" w:rsidP="003E0764">
      <w:pPr>
        <w:pStyle w:val="Balk2"/>
        <w:rPr>
          <w:lang w:val="tr-TR"/>
        </w:rPr>
      </w:pPr>
      <w:bookmarkStart w:id="40" w:name="_Toc415903849"/>
      <w:r>
        <w:rPr>
          <w:lang w:val="tr-TR"/>
        </w:rPr>
        <w:t>4</w:t>
      </w:r>
      <w:r w:rsidR="003E0764" w:rsidRPr="003E0764">
        <w:rPr>
          <w:lang w:val="tr-TR"/>
        </w:rPr>
        <w:t xml:space="preserve">.3 </w:t>
      </w:r>
      <w:r w:rsidR="003E0764" w:rsidRPr="003E0764">
        <w:rPr>
          <w:lang w:val="tr-TR"/>
        </w:rPr>
        <w:tab/>
      </w:r>
      <w:r w:rsidR="00C8558D" w:rsidRPr="003E0764">
        <w:rPr>
          <w:lang w:val="tr-TR"/>
        </w:rPr>
        <w:t xml:space="preserve">Özellik, </w:t>
      </w:r>
      <w:r w:rsidR="00586ED9" w:rsidRPr="003E0764">
        <w:rPr>
          <w:lang w:val="tr-TR"/>
        </w:rPr>
        <w:t>m</w:t>
      </w:r>
      <w:r w:rsidR="00C8558D" w:rsidRPr="003E0764">
        <w:rPr>
          <w:lang w:val="tr-TR"/>
        </w:rPr>
        <w:t>uayene ve deney madde numaraları</w:t>
      </w:r>
      <w:bookmarkEnd w:id="38"/>
      <w:bookmarkEnd w:id="39"/>
      <w:bookmarkEnd w:id="40"/>
    </w:p>
    <w:p w:rsidR="00C8558D" w:rsidRDefault="00F83FD1" w:rsidP="00C8558D">
      <w:pPr>
        <w:rPr>
          <w:rFonts w:cs="Arial"/>
          <w:szCs w:val="20"/>
        </w:rPr>
      </w:pPr>
      <w:r>
        <w:rPr>
          <w:rFonts w:cs="Arial"/>
          <w:szCs w:val="20"/>
        </w:rPr>
        <w:t>A</w:t>
      </w:r>
      <w:r w:rsidR="00431502">
        <w:rPr>
          <w:rFonts w:cs="Arial"/>
          <w:szCs w:val="20"/>
        </w:rPr>
        <w:t>yçiçe</w:t>
      </w:r>
      <w:r>
        <w:rPr>
          <w:rFonts w:cs="Arial"/>
          <w:szCs w:val="20"/>
        </w:rPr>
        <w:t xml:space="preserve">k </w:t>
      </w:r>
      <w:r w:rsidR="00C8558D">
        <w:rPr>
          <w:rFonts w:cs="Arial"/>
          <w:szCs w:val="20"/>
        </w:rPr>
        <w:t xml:space="preserve">yağlarının özelikleri ile bunların muayene ve deneylerine ait madde numaraları Çizelge </w:t>
      </w:r>
      <w:r w:rsidR="0036708D">
        <w:rPr>
          <w:rFonts w:cs="Arial"/>
          <w:szCs w:val="20"/>
        </w:rPr>
        <w:t>3</w:t>
      </w:r>
      <w:r w:rsidR="00C8558D">
        <w:rPr>
          <w:rFonts w:cs="Arial"/>
          <w:szCs w:val="20"/>
        </w:rPr>
        <w:t>’</w:t>
      </w:r>
      <w:r w:rsidR="007662E3">
        <w:rPr>
          <w:rFonts w:cs="Arial"/>
          <w:szCs w:val="20"/>
        </w:rPr>
        <w:t>d</w:t>
      </w:r>
      <w:r w:rsidR="00C8558D">
        <w:rPr>
          <w:rFonts w:cs="Arial"/>
          <w:szCs w:val="20"/>
        </w:rPr>
        <w:t>e verilmiştir.</w:t>
      </w:r>
    </w:p>
    <w:p w:rsidR="003014E0" w:rsidRDefault="003014E0" w:rsidP="00C8558D">
      <w:pPr>
        <w:rPr>
          <w:rFonts w:cs="Arial"/>
          <w:b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  <w:r>
        <w:rPr>
          <w:rFonts w:cs="Arial"/>
          <w:b/>
          <w:szCs w:val="20"/>
        </w:rPr>
        <w:t xml:space="preserve">Çizelge </w:t>
      </w:r>
      <w:r w:rsidR="0036708D">
        <w:rPr>
          <w:rFonts w:cs="Arial"/>
          <w:b/>
          <w:szCs w:val="20"/>
        </w:rPr>
        <w:t>3</w:t>
      </w:r>
      <w:r w:rsidR="007862A3">
        <w:rPr>
          <w:rFonts w:cs="Arial"/>
          <w:b/>
          <w:szCs w:val="20"/>
        </w:rPr>
        <w:t xml:space="preserve"> </w:t>
      </w:r>
      <w:r w:rsidR="00431502"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Özellik, muayene ve deney madde numaraları</w:t>
      </w:r>
    </w:p>
    <w:p w:rsidR="00C8558D" w:rsidRDefault="00C8558D" w:rsidP="00C8558D">
      <w:pPr>
        <w:rPr>
          <w:szCs w:val="20"/>
        </w:rPr>
      </w:pPr>
    </w:p>
    <w:tbl>
      <w:tblPr>
        <w:tblW w:w="34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3"/>
        <w:gridCol w:w="1927"/>
        <w:gridCol w:w="1828"/>
      </w:tblGrid>
      <w:tr w:rsidR="00C8558D" w:rsidRPr="00133C0C" w:rsidTr="00495F71">
        <w:tblPrEx>
          <w:tblCellMar>
            <w:top w:w="0" w:type="dxa"/>
            <w:bottom w:w="0" w:type="dxa"/>
          </w:tblCellMar>
        </w:tblPrEx>
        <w:tc>
          <w:tcPr>
            <w:tcW w:w="2192" w:type="pct"/>
            <w:vAlign w:val="bottom"/>
          </w:tcPr>
          <w:p w:rsidR="00C8558D" w:rsidRPr="00133C0C" w:rsidRDefault="00C8558D" w:rsidP="001B64F4">
            <w:pPr>
              <w:rPr>
                <w:rFonts w:cs="Arial"/>
                <w:color w:val="000000"/>
                <w:szCs w:val="20"/>
              </w:rPr>
            </w:pPr>
            <w:r w:rsidRPr="00133C0C">
              <w:rPr>
                <w:rFonts w:cs="Arial"/>
                <w:color w:val="000000"/>
                <w:szCs w:val="20"/>
              </w:rPr>
              <w:t>Özellik</w:t>
            </w:r>
          </w:p>
          <w:p w:rsidR="00C8558D" w:rsidRPr="00133C0C" w:rsidRDefault="00C8558D" w:rsidP="001B64F4">
            <w:pPr>
              <w:rPr>
                <w:rFonts w:eastAsia="Arial Unicode MS" w:cs="Arial"/>
                <w:color w:val="000000"/>
                <w:szCs w:val="20"/>
              </w:rPr>
            </w:pPr>
          </w:p>
        </w:tc>
        <w:tc>
          <w:tcPr>
            <w:tcW w:w="1441" w:type="pct"/>
            <w:vAlign w:val="bottom"/>
          </w:tcPr>
          <w:p w:rsidR="00C8558D" w:rsidRPr="00133C0C" w:rsidRDefault="00C8558D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 w:rsidRPr="00133C0C">
              <w:rPr>
                <w:rFonts w:cs="Arial"/>
                <w:color w:val="000000"/>
                <w:szCs w:val="20"/>
              </w:rPr>
              <w:t xml:space="preserve">Özellik madde </w:t>
            </w:r>
            <w:proofErr w:type="spellStart"/>
            <w:r w:rsidRPr="00133C0C">
              <w:rPr>
                <w:rFonts w:cs="Arial"/>
                <w:color w:val="000000"/>
                <w:szCs w:val="20"/>
              </w:rPr>
              <w:t>no</w:t>
            </w:r>
            <w:proofErr w:type="spellEnd"/>
          </w:p>
          <w:p w:rsidR="00C8558D" w:rsidRPr="00133C0C" w:rsidRDefault="00C8558D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</w:p>
        </w:tc>
        <w:tc>
          <w:tcPr>
            <w:tcW w:w="1367" w:type="pct"/>
            <w:vAlign w:val="bottom"/>
          </w:tcPr>
          <w:p w:rsidR="00C8558D" w:rsidRPr="00133C0C" w:rsidRDefault="00C8558D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 w:rsidRPr="00133C0C">
              <w:rPr>
                <w:rFonts w:cs="Arial"/>
                <w:color w:val="000000"/>
                <w:szCs w:val="20"/>
              </w:rPr>
              <w:t xml:space="preserve">Muayene ve </w:t>
            </w:r>
          </w:p>
          <w:p w:rsidR="00C8558D" w:rsidRPr="00133C0C" w:rsidRDefault="00C8558D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proofErr w:type="gramStart"/>
            <w:r w:rsidRPr="00133C0C">
              <w:rPr>
                <w:rFonts w:cs="Arial"/>
                <w:color w:val="000000"/>
                <w:szCs w:val="20"/>
              </w:rPr>
              <w:t>deney</w:t>
            </w:r>
            <w:proofErr w:type="gramEnd"/>
            <w:r w:rsidRPr="00133C0C">
              <w:rPr>
                <w:rFonts w:cs="Arial"/>
                <w:color w:val="000000"/>
                <w:szCs w:val="20"/>
              </w:rPr>
              <w:t xml:space="preserve"> madde </w:t>
            </w:r>
            <w:proofErr w:type="spellStart"/>
            <w:r w:rsidRPr="00133C0C">
              <w:rPr>
                <w:rFonts w:cs="Arial"/>
                <w:color w:val="000000"/>
                <w:szCs w:val="20"/>
              </w:rPr>
              <w:t>no</w:t>
            </w:r>
            <w:proofErr w:type="spellEnd"/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c>
          <w:tcPr>
            <w:tcW w:w="2192" w:type="pct"/>
            <w:vAlign w:val="bottom"/>
          </w:tcPr>
          <w:p w:rsidR="00C8558D" w:rsidRDefault="007A1BC7" w:rsidP="001B64F4">
            <w:pPr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Ambalajlama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  <w:r w:rsidR="007A1BC7">
              <w:rPr>
                <w:rFonts w:cs="Arial"/>
                <w:color w:val="000000"/>
                <w:szCs w:val="20"/>
              </w:rPr>
              <w:t xml:space="preserve">.1, </w:t>
            </w:r>
            <w:proofErr w:type="gramStart"/>
            <w:r w:rsidR="007A1BC7">
              <w:rPr>
                <w:rFonts w:cs="Arial"/>
                <w:color w:val="000000"/>
                <w:szCs w:val="20"/>
              </w:rPr>
              <w:t>6.2</w:t>
            </w:r>
            <w:proofErr w:type="gramEnd"/>
          </w:p>
        </w:tc>
        <w:tc>
          <w:tcPr>
            <w:tcW w:w="1367" w:type="pct"/>
            <w:vAlign w:val="bottom"/>
          </w:tcPr>
          <w:p w:rsidR="00C8558D" w:rsidRDefault="00B64E55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</w:t>
            </w:r>
            <w:r w:rsidR="00C8558D">
              <w:rPr>
                <w:rFonts w:eastAsia="Arial Unicode MS" w:cs="Arial"/>
                <w:color w:val="000000"/>
                <w:szCs w:val="20"/>
              </w:rPr>
              <w:t>.2.</w:t>
            </w:r>
            <w:r w:rsidR="00D40F0F">
              <w:rPr>
                <w:rFonts w:eastAsia="Arial Unicode MS" w:cs="Arial"/>
                <w:color w:val="000000"/>
                <w:szCs w:val="20"/>
              </w:rPr>
              <w:t>2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c>
          <w:tcPr>
            <w:tcW w:w="2192" w:type="pct"/>
            <w:vAlign w:val="bottom"/>
          </w:tcPr>
          <w:p w:rsidR="00C8558D" w:rsidRDefault="00C8558D" w:rsidP="001B64F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Duyusal </w:t>
            </w:r>
            <w:r w:rsidR="00143691">
              <w:rPr>
                <w:rFonts w:cs="Arial"/>
                <w:color w:val="000000"/>
                <w:szCs w:val="20"/>
              </w:rPr>
              <w:t>özellikler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4.2.1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</w:t>
            </w:r>
            <w:r w:rsidR="00C8558D">
              <w:rPr>
                <w:rFonts w:eastAsia="Arial Unicode MS" w:cs="Arial"/>
                <w:color w:val="000000"/>
                <w:szCs w:val="20"/>
              </w:rPr>
              <w:t>.2.1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9C7E2B" w:rsidP="001B64F4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Özgül ağırlık</w:t>
            </w:r>
            <w:r w:rsidR="00C8558D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="00C8558D">
              <w:rPr>
                <w:rFonts w:cs="Arial"/>
                <w:color w:val="000000"/>
                <w:szCs w:val="20"/>
              </w:rPr>
              <w:t>.3.</w:t>
            </w:r>
            <w:r w:rsidR="00215B91">
              <w:rPr>
                <w:rFonts w:cs="Arial"/>
                <w:color w:val="000000"/>
                <w:szCs w:val="20"/>
              </w:rPr>
              <w:t>1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C8558D" w:rsidP="001B64F4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Kırılma indisi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="00C8558D">
              <w:rPr>
                <w:rFonts w:cs="Arial"/>
                <w:color w:val="000000"/>
                <w:szCs w:val="20"/>
              </w:rPr>
              <w:t>.3.</w:t>
            </w:r>
            <w:r w:rsidR="00215B91">
              <w:rPr>
                <w:rFonts w:cs="Arial"/>
                <w:color w:val="000000"/>
                <w:szCs w:val="20"/>
              </w:rPr>
              <w:t>2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C8558D" w:rsidP="001B64F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Sabunlaşma sayısı 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="00C8558D">
              <w:rPr>
                <w:rFonts w:cs="Arial"/>
                <w:color w:val="000000"/>
                <w:szCs w:val="20"/>
              </w:rPr>
              <w:t>.3.</w:t>
            </w:r>
            <w:r w:rsidR="00215B91">
              <w:rPr>
                <w:rFonts w:cs="Arial"/>
                <w:color w:val="000000"/>
                <w:szCs w:val="20"/>
              </w:rPr>
              <w:t>3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C8558D" w:rsidP="001B64F4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 xml:space="preserve">İyot sayısı 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</w:t>
            </w:r>
            <w:r w:rsidR="00C8558D">
              <w:rPr>
                <w:rFonts w:eastAsia="Arial Unicode MS" w:cs="Arial"/>
                <w:color w:val="000000"/>
                <w:szCs w:val="20"/>
              </w:rPr>
              <w:t>.3.</w:t>
            </w:r>
            <w:r w:rsidR="00215B91">
              <w:rPr>
                <w:rFonts w:eastAsia="Arial Unicode MS" w:cs="Arial"/>
                <w:color w:val="000000"/>
                <w:szCs w:val="20"/>
              </w:rPr>
              <w:t>4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C8558D" w:rsidP="001B64F4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Sabunlaşmayan madde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367" w:type="pct"/>
            <w:vAlign w:val="bottom"/>
          </w:tcPr>
          <w:p w:rsidR="00C8558D" w:rsidRDefault="00D94747" w:rsidP="00D94747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</w:t>
            </w:r>
            <w:r w:rsidR="00215B91">
              <w:rPr>
                <w:rFonts w:eastAsia="Arial Unicode MS" w:cs="Arial"/>
                <w:color w:val="000000"/>
                <w:szCs w:val="20"/>
              </w:rPr>
              <w:t>.</w:t>
            </w:r>
            <w:r w:rsidR="00C8558D">
              <w:rPr>
                <w:rFonts w:eastAsia="Arial Unicode MS" w:cs="Arial"/>
                <w:color w:val="000000"/>
                <w:szCs w:val="20"/>
              </w:rPr>
              <w:t>3.</w:t>
            </w:r>
            <w:r w:rsidR="00215B91">
              <w:rPr>
                <w:rFonts w:eastAsia="Arial Unicode MS" w:cs="Arial"/>
                <w:color w:val="000000"/>
                <w:szCs w:val="20"/>
              </w:rPr>
              <w:t>5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C8558D" w:rsidP="001B64F4">
            <w:pPr>
              <w:autoSpaceDE w:val="0"/>
              <w:autoSpaceDN w:val="0"/>
              <w:adjustRightInd w:val="0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Yağ asitleri bileşimi</w:t>
            </w:r>
            <w:r>
              <w:rPr>
                <w:rFonts w:eastAsia="Arial Unicode MS" w:cs="Arial"/>
                <w:color w:val="000000"/>
                <w:szCs w:val="20"/>
              </w:rPr>
              <w:t xml:space="preserve"> 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</w:t>
            </w:r>
            <w:r w:rsidR="00C8558D">
              <w:rPr>
                <w:rFonts w:eastAsia="Arial Unicode MS" w:cs="Arial"/>
                <w:color w:val="000000"/>
                <w:szCs w:val="20"/>
              </w:rPr>
              <w:t>.3.</w:t>
            </w:r>
            <w:r w:rsidR="00215B91">
              <w:rPr>
                <w:rFonts w:eastAsia="Arial Unicode MS" w:cs="Arial"/>
                <w:color w:val="000000"/>
                <w:szCs w:val="20"/>
              </w:rPr>
              <w:t>6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C8558D" w:rsidP="001B64F4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Rutubet ve uçucu madde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</w:t>
            </w:r>
            <w:r w:rsidR="00C8558D">
              <w:rPr>
                <w:rFonts w:eastAsia="Arial Unicode MS" w:cs="Arial"/>
                <w:color w:val="000000"/>
                <w:szCs w:val="20"/>
              </w:rPr>
              <w:t>.3.</w:t>
            </w:r>
            <w:r w:rsidR="00215B91">
              <w:rPr>
                <w:rFonts w:eastAsia="Arial Unicode MS" w:cs="Arial"/>
                <w:color w:val="000000"/>
                <w:szCs w:val="20"/>
              </w:rPr>
              <w:t>7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C8558D" w:rsidP="001B64F4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Çözünmeyen </w:t>
            </w:r>
            <w:proofErr w:type="spellStart"/>
            <w:r>
              <w:rPr>
                <w:rFonts w:cs="Arial"/>
                <w:color w:val="000000"/>
                <w:szCs w:val="20"/>
              </w:rPr>
              <w:t>safsızlıklar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</w:t>
            </w:r>
            <w:r w:rsidR="00C8558D">
              <w:rPr>
                <w:rFonts w:eastAsia="Arial Unicode MS" w:cs="Arial"/>
                <w:color w:val="000000"/>
                <w:szCs w:val="20"/>
              </w:rPr>
              <w:t>.3.</w:t>
            </w:r>
            <w:r w:rsidR="00215B91">
              <w:rPr>
                <w:rFonts w:eastAsia="Arial Unicode MS" w:cs="Arial"/>
                <w:color w:val="000000"/>
                <w:szCs w:val="20"/>
              </w:rPr>
              <w:t>8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C8558D" w:rsidP="001B64F4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Sabun</w:t>
            </w:r>
            <w:r w:rsidR="00D40F0F">
              <w:rPr>
                <w:rFonts w:eastAsia="Arial Unicode MS" w:cs="Arial"/>
                <w:color w:val="000000"/>
                <w:szCs w:val="20"/>
              </w:rPr>
              <w:t xml:space="preserve"> oranı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 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="00C8558D">
              <w:rPr>
                <w:rFonts w:cs="Arial"/>
                <w:color w:val="000000"/>
                <w:szCs w:val="20"/>
              </w:rPr>
              <w:t>.3.</w:t>
            </w:r>
            <w:r w:rsidR="00215B91">
              <w:rPr>
                <w:rFonts w:cs="Arial"/>
                <w:color w:val="000000"/>
                <w:szCs w:val="20"/>
              </w:rPr>
              <w:t>9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1C58E4" w:rsidP="001B64F4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Serbest yağ asitleri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="00C8558D">
              <w:rPr>
                <w:rFonts w:cs="Arial"/>
                <w:color w:val="000000"/>
                <w:szCs w:val="20"/>
              </w:rPr>
              <w:t>.3.1</w:t>
            </w:r>
            <w:r w:rsidR="00215B91">
              <w:rPr>
                <w:rFonts w:cs="Arial"/>
                <w:color w:val="000000"/>
                <w:szCs w:val="20"/>
              </w:rPr>
              <w:t>0</w:t>
            </w:r>
          </w:p>
        </w:tc>
      </w:tr>
      <w:tr w:rsidR="00C8558D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C8558D" w:rsidRDefault="00C8558D" w:rsidP="001B64F4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Peroksit sayısı</w:t>
            </w:r>
          </w:p>
        </w:tc>
        <w:tc>
          <w:tcPr>
            <w:tcW w:w="1441" w:type="pct"/>
            <w:vAlign w:val="bottom"/>
          </w:tcPr>
          <w:p w:rsidR="00C8558D" w:rsidRDefault="00B64E55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 </w:t>
            </w:r>
          </w:p>
        </w:tc>
        <w:tc>
          <w:tcPr>
            <w:tcW w:w="1367" w:type="pct"/>
            <w:vAlign w:val="bottom"/>
          </w:tcPr>
          <w:p w:rsidR="00C8558D" w:rsidRDefault="00D94747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="00215B91">
              <w:rPr>
                <w:rFonts w:cs="Arial"/>
                <w:color w:val="000000"/>
                <w:szCs w:val="20"/>
              </w:rPr>
              <w:t>.</w:t>
            </w:r>
            <w:r w:rsidR="00C8558D">
              <w:rPr>
                <w:rFonts w:cs="Arial"/>
                <w:color w:val="000000"/>
                <w:szCs w:val="20"/>
              </w:rPr>
              <w:t>3.1</w:t>
            </w:r>
            <w:r w:rsidR="00215B91">
              <w:rPr>
                <w:rFonts w:cs="Arial"/>
                <w:color w:val="000000"/>
                <w:szCs w:val="20"/>
              </w:rPr>
              <w:t>1</w:t>
            </w:r>
          </w:p>
        </w:tc>
      </w:tr>
      <w:tr w:rsidR="00E923AA" w:rsidTr="00495F71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2192" w:type="pct"/>
          </w:tcPr>
          <w:p w:rsidR="00E923AA" w:rsidRDefault="00E923AA" w:rsidP="001B64F4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Toplam sterol</w:t>
            </w:r>
          </w:p>
        </w:tc>
        <w:tc>
          <w:tcPr>
            <w:tcW w:w="1441" w:type="pct"/>
            <w:vAlign w:val="bottom"/>
          </w:tcPr>
          <w:p w:rsidR="00E923AA" w:rsidRDefault="00E923AA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4.2.2</w:t>
            </w:r>
          </w:p>
        </w:tc>
        <w:tc>
          <w:tcPr>
            <w:tcW w:w="1367" w:type="pct"/>
            <w:vAlign w:val="bottom"/>
          </w:tcPr>
          <w:p w:rsidR="00E923AA" w:rsidRDefault="00E923AA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5.3.12</w:t>
            </w:r>
          </w:p>
        </w:tc>
      </w:tr>
      <w:tr w:rsidR="00431502" w:rsidTr="00495F71">
        <w:tblPrEx>
          <w:tblCellMar>
            <w:top w:w="0" w:type="dxa"/>
            <w:bottom w:w="0" w:type="dxa"/>
          </w:tblCellMar>
        </w:tblPrEx>
        <w:tc>
          <w:tcPr>
            <w:tcW w:w="2192" w:type="pct"/>
          </w:tcPr>
          <w:p w:rsidR="00431502" w:rsidRDefault="00431502" w:rsidP="001B64F4">
            <w:pPr>
              <w:tabs>
                <w:tab w:val="left" w:pos="4050"/>
                <w:tab w:val="left" w:pos="6301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Kurşun </w:t>
            </w:r>
            <w:r w:rsidR="00D40F0F">
              <w:rPr>
                <w:rFonts w:cs="Arial"/>
                <w:color w:val="000000"/>
                <w:szCs w:val="20"/>
              </w:rPr>
              <w:t>içeriği</w:t>
            </w:r>
          </w:p>
        </w:tc>
        <w:tc>
          <w:tcPr>
            <w:tcW w:w="1441" w:type="pct"/>
            <w:vAlign w:val="bottom"/>
          </w:tcPr>
          <w:p w:rsidR="00431502" w:rsidRDefault="00431502" w:rsidP="001B64F4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4.2.2</w:t>
            </w:r>
          </w:p>
        </w:tc>
        <w:tc>
          <w:tcPr>
            <w:tcW w:w="1367" w:type="pct"/>
          </w:tcPr>
          <w:p w:rsidR="00431502" w:rsidRDefault="00431502" w:rsidP="001B64F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5.3.13</w:t>
            </w:r>
          </w:p>
        </w:tc>
      </w:tr>
    </w:tbl>
    <w:p w:rsidR="00786D32" w:rsidRDefault="00786D32">
      <w:pPr>
        <w:jc w:val="left"/>
      </w:pPr>
      <w:bookmarkStart w:id="41" w:name="_Toc70739586"/>
      <w:bookmarkStart w:id="42" w:name="_Toc71082157"/>
      <w:bookmarkStart w:id="43" w:name="_Toc94964159"/>
      <w:r>
        <w:br w:type="page"/>
      </w:r>
    </w:p>
    <w:p w:rsidR="00C8558D" w:rsidRDefault="00C4363F" w:rsidP="004F4747">
      <w:pPr>
        <w:pStyle w:val="Balk1"/>
        <w:rPr>
          <w:snapToGrid w:val="0"/>
        </w:rPr>
      </w:pPr>
      <w:bookmarkStart w:id="44" w:name="_Toc249189873"/>
      <w:bookmarkStart w:id="45" w:name="_Toc415903850"/>
      <w:r w:rsidRPr="0071105D">
        <w:rPr>
          <w:snapToGrid w:val="0"/>
        </w:rPr>
        <w:t>5</w:t>
      </w:r>
      <w:r w:rsidR="00C8558D" w:rsidRPr="0071105D">
        <w:rPr>
          <w:snapToGrid w:val="0"/>
        </w:rPr>
        <w:tab/>
        <w:t>Numune alma, muayene ve deneyler</w:t>
      </w:r>
      <w:bookmarkEnd w:id="41"/>
      <w:bookmarkEnd w:id="42"/>
      <w:bookmarkEnd w:id="43"/>
      <w:bookmarkEnd w:id="44"/>
      <w:bookmarkEnd w:id="45"/>
    </w:p>
    <w:p w:rsidR="004F4747" w:rsidRPr="004F4747" w:rsidRDefault="004F4747" w:rsidP="004F4747">
      <w:pPr>
        <w:rPr>
          <w:lang w:val="en-AU"/>
        </w:rPr>
      </w:pPr>
    </w:p>
    <w:p w:rsidR="00C8558D" w:rsidRPr="0071105D" w:rsidRDefault="00C4363F" w:rsidP="0071105D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46" w:name="_Toc70739587"/>
      <w:bookmarkStart w:id="47" w:name="_Toc71082158"/>
      <w:bookmarkStart w:id="48" w:name="_Toc94964160"/>
      <w:bookmarkStart w:id="49" w:name="_Toc249189874"/>
      <w:bookmarkStart w:id="50" w:name="_Toc415903851"/>
      <w:r w:rsidRPr="0071105D">
        <w:rPr>
          <w:rFonts w:cs="Arial"/>
          <w:noProof w:val="0"/>
          <w:szCs w:val="20"/>
          <w:lang w:val="tr-TR" w:eastAsia="tr-TR"/>
        </w:rPr>
        <w:t>5</w:t>
      </w:r>
      <w:r w:rsidR="00C8558D" w:rsidRPr="0071105D">
        <w:rPr>
          <w:rFonts w:cs="Arial"/>
          <w:noProof w:val="0"/>
          <w:szCs w:val="20"/>
          <w:lang w:val="tr-TR" w:eastAsia="tr-TR"/>
        </w:rPr>
        <w:t>.1</w:t>
      </w:r>
      <w:r w:rsidR="00C8558D" w:rsidRPr="0071105D">
        <w:rPr>
          <w:rFonts w:cs="Arial"/>
          <w:noProof w:val="0"/>
          <w:szCs w:val="20"/>
          <w:lang w:val="tr-TR" w:eastAsia="tr-TR"/>
        </w:rPr>
        <w:tab/>
        <w:t>Numune alma</w:t>
      </w:r>
      <w:bookmarkEnd w:id="46"/>
      <w:bookmarkEnd w:id="47"/>
      <w:bookmarkEnd w:id="48"/>
      <w:bookmarkEnd w:id="49"/>
      <w:bookmarkEnd w:id="50"/>
    </w:p>
    <w:p w:rsidR="009F601D" w:rsidRDefault="009F601D" w:rsidP="00495F71">
      <w:r w:rsidRPr="009F601D">
        <w:t xml:space="preserve">Ambalaj büyüklüğü, tipi, parti veya seri kod numarası aynı olan ve bir seferde muayeneye sunulan </w:t>
      </w:r>
      <w:proofErr w:type="spellStart"/>
      <w:r w:rsidRPr="009F601D">
        <w:t>ayçiçek</w:t>
      </w:r>
      <w:proofErr w:type="spellEnd"/>
      <w:r w:rsidRPr="009F601D">
        <w:t xml:space="preserve"> yağları bir parti sayılır. Partiden numune TS 7060 EN ISO 5555’e göre alınır.</w:t>
      </w:r>
    </w:p>
    <w:p w:rsidR="001D7F04" w:rsidRDefault="001D7F0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1" w:name="_Toc70739593"/>
      <w:bookmarkStart w:id="52" w:name="_Toc71082159"/>
      <w:bookmarkStart w:id="53" w:name="_Toc94964161"/>
      <w:bookmarkStart w:id="54" w:name="_Toc249189875"/>
    </w:p>
    <w:p w:rsidR="00C8558D" w:rsidRPr="00726D46" w:rsidRDefault="00C40860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5" w:name="_Toc415903852"/>
      <w:r w:rsidRPr="00726D46">
        <w:rPr>
          <w:rFonts w:cs="Arial"/>
          <w:noProof w:val="0"/>
          <w:szCs w:val="20"/>
          <w:lang w:val="tr-TR" w:eastAsia="tr-TR"/>
        </w:rPr>
        <w:t>5.2</w:t>
      </w:r>
      <w:r w:rsidR="00726D46">
        <w:rPr>
          <w:rFonts w:cs="Arial"/>
          <w:noProof w:val="0"/>
          <w:szCs w:val="20"/>
          <w:lang w:val="tr-TR" w:eastAsia="tr-TR"/>
        </w:rPr>
        <w:tab/>
      </w:r>
      <w:r w:rsidR="00C8558D" w:rsidRPr="00726D46">
        <w:rPr>
          <w:rFonts w:cs="Arial"/>
          <w:noProof w:val="0"/>
          <w:szCs w:val="20"/>
          <w:lang w:val="tr-TR" w:eastAsia="tr-TR"/>
        </w:rPr>
        <w:t>Muayeneler</w:t>
      </w:r>
      <w:bookmarkEnd w:id="51"/>
      <w:bookmarkEnd w:id="52"/>
      <w:bookmarkEnd w:id="53"/>
      <w:bookmarkEnd w:id="54"/>
      <w:bookmarkEnd w:id="55"/>
    </w:p>
    <w:p w:rsidR="00C8558D" w:rsidRDefault="00C8558D" w:rsidP="00C8558D">
      <w:pPr>
        <w:pStyle w:val="AklamaMetni"/>
        <w:rPr>
          <w:szCs w:val="24"/>
        </w:rPr>
      </w:pPr>
    </w:p>
    <w:p w:rsidR="00C8558D" w:rsidRPr="00726D46" w:rsidRDefault="00C40860" w:rsidP="00726D46">
      <w:pPr>
        <w:rPr>
          <w:b/>
          <w:bCs/>
          <w:sz w:val="22"/>
          <w:szCs w:val="20"/>
        </w:rPr>
      </w:pPr>
      <w:bookmarkStart w:id="56" w:name="_Toc70739594"/>
      <w:bookmarkStart w:id="57" w:name="_Toc71082160"/>
      <w:r w:rsidRPr="00726D46">
        <w:rPr>
          <w:b/>
          <w:bCs/>
          <w:sz w:val="22"/>
          <w:szCs w:val="20"/>
        </w:rPr>
        <w:t>5</w:t>
      </w:r>
      <w:r w:rsidR="00C8558D" w:rsidRPr="00726D46">
        <w:rPr>
          <w:b/>
          <w:bCs/>
          <w:sz w:val="22"/>
          <w:szCs w:val="20"/>
        </w:rPr>
        <w:t>.2.1</w:t>
      </w:r>
      <w:r w:rsidR="00C8558D" w:rsidRPr="00726D46">
        <w:rPr>
          <w:b/>
          <w:bCs/>
          <w:sz w:val="22"/>
          <w:szCs w:val="20"/>
        </w:rPr>
        <w:tab/>
        <w:t>Duyu</w:t>
      </w:r>
      <w:r w:rsidR="00E32343" w:rsidRPr="00726D46">
        <w:rPr>
          <w:b/>
          <w:bCs/>
          <w:sz w:val="22"/>
          <w:szCs w:val="20"/>
        </w:rPr>
        <w:t>sal</w:t>
      </w:r>
      <w:r w:rsidR="00C8558D" w:rsidRPr="00726D46">
        <w:rPr>
          <w:b/>
          <w:bCs/>
          <w:sz w:val="22"/>
          <w:szCs w:val="20"/>
        </w:rPr>
        <w:t xml:space="preserve"> muayene</w:t>
      </w:r>
      <w:bookmarkEnd w:id="56"/>
      <w:bookmarkEnd w:id="57"/>
    </w:p>
    <w:p w:rsidR="00C8558D" w:rsidRDefault="00C8558D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Ayçiçek yağının, görünüş ve berraklığı TS 894'e göre (</w:t>
      </w:r>
      <w:r w:rsidR="001D7F04">
        <w:rPr>
          <w:rFonts w:cs="Arial"/>
          <w:color w:val="000000"/>
          <w:szCs w:val="20"/>
        </w:rPr>
        <w:t>40</w:t>
      </w:r>
      <w:r>
        <w:rPr>
          <w:rFonts w:cs="Arial"/>
          <w:color w:val="000000"/>
          <w:szCs w:val="20"/>
        </w:rPr>
        <w:t>°C</w:t>
      </w:r>
      <w:r w:rsidR="001D7F04">
        <w:rPr>
          <w:rFonts w:cs="Arial"/>
          <w:color w:val="000000"/>
          <w:szCs w:val="20"/>
        </w:rPr>
        <w:t>’</w:t>
      </w:r>
      <w:r w:rsidR="00143691">
        <w:rPr>
          <w:rFonts w:cs="Arial"/>
          <w:color w:val="000000"/>
          <w:szCs w:val="20"/>
        </w:rPr>
        <w:t>ta</w:t>
      </w:r>
      <w:r>
        <w:rPr>
          <w:rFonts w:cs="Arial"/>
          <w:color w:val="000000"/>
          <w:szCs w:val="20"/>
        </w:rPr>
        <w:t>) bakılarak, tadı ve kokusu ise tadılarak ve koklanarak muayene edilir</w:t>
      </w:r>
      <w:r w:rsidR="00143691">
        <w:rPr>
          <w:rFonts w:cs="Arial"/>
          <w:color w:val="000000"/>
          <w:szCs w:val="20"/>
        </w:rPr>
        <w:t xml:space="preserve"> ve</w:t>
      </w:r>
      <w:r>
        <w:rPr>
          <w:rFonts w:cs="Arial"/>
          <w:color w:val="000000"/>
          <w:szCs w:val="20"/>
        </w:rPr>
        <w:t xml:space="preserve"> sonucun Madde </w:t>
      </w:r>
      <w:r w:rsidR="00215B91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.2.1'e uygun olup olmadığına bakılır.</w:t>
      </w:r>
    </w:p>
    <w:p w:rsidR="002E4578" w:rsidRDefault="002E4578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bookmarkStart w:id="58" w:name="_Toc70739595"/>
      <w:bookmarkStart w:id="59" w:name="_Toc71082161"/>
      <w:r w:rsidRPr="00726D46">
        <w:rPr>
          <w:b/>
          <w:bCs/>
          <w:sz w:val="22"/>
          <w:szCs w:val="20"/>
        </w:rPr>
        <w:t>5</w:t>
      </w:r>
      <w:r w:rsidR="00C8558D" w:rsidRPr="00726D46">
        <w:rPr>
          <w:b/>
          <w:bCs/>
          <w:sz w:val="22"/>
          <w:szCs w:val="20"/>
        </w:rPr>
        <w:t>.2.2</w:t>
      </w:r>
      <w:r w:rsidR="00C8558D" w:rsidRPr="00726D46">
        <w:rPr>
          <w:b/>
          <w:bCs/>
          <w:sz w:val="22"/>
          <w:szCs w:val="20"/>
        </w:rPr>
        <w:tab/>
        <w:t>Ambal</w:t>
      </w:r>
      <w:r w:rsidR="00726D46">
        <w:rPr>
          <w:b/>
          <w:bCs/>
          <w:sz w:val="22"/>
          <w:szCs w:val="20"/>
        </w:rPr>
        <w:t>a</w:t>
      </w:r>
      <w:r w:rsidR="00C8558D" w:rsidRPr="00726D46">
        <w:rPr>
          <w:b/>
          <w:bCs/>
          <w:sz w:val="22"/>
          <w:szCs w:val="20"/>
        </w:rPr>
        <w:t>j muayenesi</w:t>
      </w:r>
      <w:bookmarkEnd w:id="58"/>
      <w:bookmarkEnd w:id="59"/>
    </w:p>
    <w:p w:rsidR="00A85714" w:rsidRDefault="00A85714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</w:rPr>
      </w:pPr>
      <w:r w:rsidRPr="002155AD">
        <w:rPr>
          <w:rFonts w:cs="Arial"/>
          <w:color w:val="000000"/>
        </w:rPr>
        <w:t xml:space="preserve">Ambalâj </w:t>
      </w:r>
      <w:r>
        <w:rPr>
          <w:rFonts w:cs="Arial"/>
          <w:color w:val="000000"/>
        </w:rPr>
        <w:t>muayenesi gözle ve</w:t>
      </w:r>
      <w:r w:rsidRPr="002155AD">
        <w:rPr>
          <w:rFonts w:cs="Arial"/>
          <w:color w:val="000000"/>
        </w:rPr>
        <w:t xml:space="preserve"> elle incelenerek, </w:t>
      </w:r>
      <w:r>
        <w:rPr>
          <w:rFonts w:cs="Arial"/>
          <w:color w:val="000000"/>
        </w:rPr>
        <w:t xml:space="preserve">tartılarak ve </w:t>
      </w:r>
      <w:r w:rsidRPr="002155AD">
        <w:rPr>
          <w:rFonts w:cs="Arial"/>
          <w:color w:val="000000"/>
        </w:rPr>
        <w:t xml:space="preserve">gerekirse ölçülerek yapılır. </w:t>
      </w:r>
      <w:r>
        <w:rPr>
          <w:rFonts w:cs="Arial"/>
          <w:color w:val="000000"/>
        </w:rPr>
        <w:t xml:space="preserve">Sonucun Madde </w:t>
      </w:r>
      <w:proofErr w:type="gramStart"/>
      <w:r>
        <w:rPr>
          <w:rFonts w:cs="Arial"/>
          <w:color w:val="000000"/>
        </w:rPr>
        <w:t>6.1</w:t>
      </w:r>
      <w:r w:rsidRPr="002155AD">
        <w:rPr>
          <w:rFonts w:cs="Arial"/>
          <w:color w:val="000000"/>
        </w:rPr>
        <w:t>'</w:t>
      </w:r>
      <w:r>
        <w:rPr>
          <w:rFonts w:cs="Arial"/>
          <w:color w:val="000000"/>
        </w:rPr>
        <w:t>e</w:t>
      </w:r>
      <w:proofErr w:type="gramEnd"/>
      <w:r>
        <w:rPr>
          <w:rFonts w:cs="Arial"/>
          <w:color w:val="000000"/>
        </w:rPr>
        <w:t xml:space="preserve"> ve Madde 6.2</w:t>
      </w:r>
      <w:r w:rsidRPr="002155AD">
        <w:rPr>
          <w:rFonts w:cs="Arial"/>
          <w:color w:val="000000"/>
        </w:rPr>
        <w:t>’</w:t>
      </w:r>
      <w:r>
        <w:rPr>
          <w:rFonts w:cs="Arial"/>
          <w:color w:val="000000"/>
        </w:rPr>
        <w:t>y</w:t>
      </w:r>
      <w:r w:rsidRPr="002155AD">
        <w:rPr>
          <w:rFonts w:cs="Arial"/>
          <w:color w:val="000000"/>
        </w:rPr>
        <w:t>e uygun olup olmadığına bakılır.</w:t>
      </w:r>
    </w:p>
    <w:p w:rsidR="004F4747" w:rsidRDefault="004F4747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60" w:name="_Toc70739596"/>
      <w:bookmarkStart w:id="61" w:name="_Toc71082162"/>
      <w:bookmarkStart w:id="62" w:name="_Toc94964162"/>
      <w:bookmarkStart w:id="63" w:name="_Toc249189876"/>
      <w:bookmarkStart w:id="64" w:name="_Toc415903853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.3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Deneyler</w:t>
      </w:r>
      <w:bookmarkEnd w:id="60"/>
      <w:bookmarkEnd w:id="61"/>
      <w:bookmarkEnd w:id="62"/>
      <w:bookmarkEnd w:id="63"/>
      <w:bookmarkEnd w:id="64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Deneylerde TS EN ISO 3696’ya uygun damıtık su veya buna eş değer saflıktaki su kullanılmalıdır. Kullanılan reaktiflerin tümü analitik saflıkta olmalı, ayarlı çözeltiler TS 545'e, belirteç çözeltiler TS 2104'e</w:t>
      </w:r>
      <w:r w:rsidR="00D2074D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  <w:r w:rsidR="00D2074D">
        <w:rPr>
          <w:rFonts w:cs="Arial"/>
          <w:color w:val="000000"/>
          <w:szCs w:val="20"/>
        </w:rPr>
        <w:t>analiz numunesi ise TS EN ISO 661’e göre hazırlanır.</w:t>
      </w:r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bookmarkStart w:id="65" w:name="_Toc70739597"/>
      <w:bookmarkStart w:id="66" w:name="_Toc71082163"/>
      <w:r w:rsidRPr="00726D46">
        <w:rPr>
          <w:b/>
          <w:bCs/>
          <w:sz w:val="22"/>
          <w:szCs w:val="20"/>
        </w:rPr>
        <w:t>5.</w:t>
      </w:r>
      <w:r w:rsidR="00C8558D" w:rsidRPr="00726D46">
        <w:rPr>
          <w:b/>
          <w:bCs/>
          <w:sz w:val="22"/>
          <w:szCs w:val="20"/>
        </w:rPr>
        <w:t>3.</w:t>
      </w:r>
      <w:r w:rsidR="00D2074D" w:rsidRPr="00726D46">
        <w:rPr>
          <w:b/>
          <w:bCs/>
          <w:sz w:val="22"/>
          <w:szCs w:val="20"/>
        </w:rPr>
        <w:t>1</w:t>
      </w:r>
      <w:r w:rsidR="00C8558D" w:rsidRPr="00726D46">
        <w:rPr>
          <w:b/>
          <w:bCs/>
          <w:sz w:val="22"/>
          <w:szCs w:val="20"/>
        </w:rPr>
        <w:tab/>
        <w:t xml:space="preserve">Özgül </w:t>
      </w:r>
      <w:r w:rsidR="009C7E2B">
        <w:rPr>
          <w:b/>
          <w:bCs/>
          <w:sz w:val="22"/>
          <w:szCs w:val="20"/>
        </w:rPr>
        <w:t>ağırlık</w:t>
      </w:r>
      <w:r w:rsidR="00C8558D" w:rsidRPr="00726D46">
        <w:rPr>
          <w:b/>
          <w:bCs/>
          <w:sz w:val="22"/>
          <w:szCs w:val="20"/>
        </w:rPr>
        <w:t xml:space="preserve"> tayini</w:t>
      </w:r>
    </w:p>
    <w:p w:rsidR="00C8558D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>Özgül</w:t>
      </w:r>
      <w:r w:rsidR="009C7E2B">
        <w:rPr>
          <w:rFonts w:cs="Arial"/>
          <w:bCs/>
          <w:color w:val="000000"/>
          <w:szCs w:val="20"/>
        </w:rPr>
        <w:t xml:space="preserve"> ağırlık</w:t>
      </w:r>
      <w:r>
        <w:rPr>
          <w:rFonts w:cs="Arial"/>
          <w:bCs/>
          <w:color w:val="000000"/>
          <w:szCs w:val="20"/>
        </w:rPr>
        <w:t xml:space="preserve"> tayini, </w:t>
      </w:r>
      <w:r>
        <w:rPr>
          <w:rFonts w:cs="Arial"/>
          <w:color w:val="000000"/>
          <w:szCs w:val="20"/>
        </w:rPr>
        <w:t>TS 894’</w:t>
      </w:r>
      <w:r>
        <w:rPr>
          <w:rFonts w:cs="Arial"/>
          <w:bCs/>
          <w:color w:val="000000"/>
          <w:szCs w:val="20"/>
        </w:rPr>
        <w:t>e göre yapılır</w:t>
      </w:r>
      <w:r>
        <w:rPr>
          <w:rFonts w:cs="Arial"/>
          <w:color w:val="000000"/>
          <w:szCs w:val="20"/>
        </w:rPr>
        <w:t xml:space="preserve"> ve sonucun</w:t>
      </w:r>
      <w:r>
        <w:rPr>
          <w:rFonts w:cs="Arial"/>
          <w:bCs/>
          <w:color w:val="000000"/>
          <w:szCs w:val="20"/>
        </w:rPr>
        <w:t xml:space="preserve"> Madde </w:t>
      </w:r>
      <w:r w:rsidR="00215B91">
        <w:rPr>
          <w:rFonts w:cs="Arial"/>
          <w:bCs/>
          <w:color w:val="000000"/>
          <w:szCs w:val="20"/>
        </w:rPr>
        <w:t>4</w:t>
      </w:r>
      <w:r>
        <w:rPr>
          <w:rFonts w:cs="Arial"/>
          <w:bCs/>
          <w:color w:val="000000"/>
          <w:szCs w:val="20"/>
        </w:rPr>
        <w:t>.2.2’ye uygun olup olmadığına bakılır.</w:t>
      </w:r>
    </w:p>
    <w:p w:rsidR="00C8558D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bookmarkStart w:id="67" w:name="_Toc71082164"/>
      <w:bookmarkStart w:id="68" w:name="_Toc71082183"/>
      <w:bookmarkEnd w:id="65"/>
      <w:bookmarkEnd w:id="66"/>
      <w:r w:rsidRPr="00726D46">
        <w:rPr>
          <w:b/>
          <w:bCs/>
          <w:sz w:val="22"/>
          <w:szCs w:val="20"/>
        </w:rPr>
        <w:t>5.</w:t>
      </w:r>
      <w:r w:rsidR="00C8558D" w:rsidRPr="00726D46">
        <w:rPr>
          <w:b/>
          <w:bCs/>
          <w:sz w:val="22"/>
          <w:szCs w:val="20"/>
        </w:rPr>
        <w:t>3.</w:t>
      </w:r>
      <w:r w:rsidR="00D2074D" w:rsidRPr="00726D46">
        <w:rPr>
          <w:b/>
          <w:bCs/>
          <w:sz w:val="22"/>
          <w:szCs w:val="20"/>
        </w:rPr>
        <w:t>2</w:t>
      </w:r>
      <w:r w:rsidR="00C8558D" w:rsidRPr="00726D46">
        <w:rPr>
          <w:b/>
          <w:bCs/>
          <w:sz w:val="22"/>
          <w:szCs w:val="20"/>
        </w:rPr>
        <w:tab/>
        <w:t>Kırılma indisi tayini</w:t>
      </w:r>
    </w:p>
    <w:p w:rsidR="00C8558D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 xml:space="preserve">Kırılma indisi tayini, </w:t>
      </w:r>
      <w:r>
        <w:rPr>
          <w:rFonts w:cs="Arial"/>
          <w:color w:val="000000"/>
          <w:szCs w:val="20"/>
        </w:rPr>
        <w:t>TS 4960 EN ISO 6320</w:t>
      </w:r>
      <w:r>
        <w:rPr>
          <w:rFonts w:cs="Arial"/>
          <w:bCs/>
          <w:color w:val="000000"/>
          <w:szCs w:val="20"/>
        </w:rPr>
        <w:t>’ye göre yapılır</w:t>
      </w:r>
      <w:r>
        <w:rPr>
          <w:rFonts w:cs="Arial"/>
          <w:color w:val="000000"/>
          <w:szCs w:val="20"/>
        </w:rPr>
        <w:t xml:space="preserve"> ve sonucun</w:t>
      </w:r>
      <w:r>
        <w:rPr>
          <w:rFonts w:cs="Arial"/>
          <w:bCs/>
          <w:color w:val="000000"/>
          <w:szCs w:val="20"/>
        </w:rPr>
        <w:t xml:space="preserve"> Madde </w:t>
      </w:r>
      <w:r w:rsidR="00215B91">
        <w:rPr>
          <w:rFonts w:cs="Arial"/>
          <w:bCs/>
          <w:color w:val="000000"/>
          <w:szCs w:val="20"/>
        </w:rPr>
        <w:t>4</w:t>
      </w:r>
      <w:r>
        <w:rPr>
          <w:rFonts w:cs="Arial"/>
          <w:bCs/>
          <w:color w:val="000000"/>
          <w:szCs w:val="20"/>
        </w:rPr>
        <w:t>.2.2’ye uygun olup olmadığına bakılır.</w:t>
      </w:r>
    </w:p>
    <w:p w:rsidR="00C8558D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bookmarkStart w:id="69" w:name="_Toc71082166"/>
      <w:r w:rsidRPr="00726D46">
        <w:rPr>
          <w:b/>
          <w:bCs/>
          <w:sz w:val="22"/>
          <w:szCs w:val="20"/>
        </w:rPr>
        <w:t>5</w:t>
      </w:r>
      <w:r w:rsidR="00C8558D" w:rsidRPr="00726D46">
        <w:rPr>
          <w:b/>
          <w:bCs/>
          <w:sz w:val="22"/>
          <w:szCs w:val="20"/>
        </w:rPr>
        <w:t>.3.</w:t>
      </w:r>
      <w:r w:rsidR="00D2074D" w:rsidRPr="00726D46">
        <w:rPr>
          <w:b/>
          <w:bCs/>
          <w:sz w:val="22"/>
          <w:szCs w:val="20"/>
        </w:rPr>
        <w:t>3</w:t>
      </w:r>
      <w:r w:rsidR="00C8558D" w:rsidRPr="00726D46">
        <w:rPr>
          <w:b/>
          <w:bCs/>
          <w:sz w:val="22"/>
          <w:szCs w:val="20"/>
        </w:rPr>
        <w:tab/>
        <w:t>Sabunlaşma sayısı tayini</w:t>
      </w:r>
      <w:bookmarkEnd w:id="69"/>
      <w:r w:rsidR="00C8558D" w:rsidRPr="00726D46">
        <w:rPr>
          <w:b/>
          <w:bCs/>
          <w:sz w:val="22"/>
          <w:szCs w:val="20"/>
        </w:rPr>
        <w:t xml:space="preserve"> </w:t>
      </w:r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 xml:space="preserve">Sabunlaşma sayısı tayini, </w:t>
      </w:r>
      <w:r>
        <w:rPr>
          <w:rFonts w:cs="Arial"/>
          <w:color w:val="000000"/>
          <w:szCs w:val="20"/>
        </w:rPr>
        <w:t>TS 4962</w:t>
      </w:r>
      <w:r w:rsidR="003F387C" w:rsidRPr="003F387C">
        <w:rPr>
          <w:rFonts w:cs="Arial"/>
          <w:b/>
          <w:bCs/>
          <w:color w:val="000000"/>
          <w:szCs w:val="20"/>
        </w:rPr>
        <w:t xml:space="preserve"> </w:t>
      </w:r>
      <w:r w:rsidR="003F387C" w:rsidRPr="00726D46">
        <w:rPr>
          <w:rFonts w:cs="Arial"/>
          <w:bCs/>
          <w:color w:val="000000"/>
          <w:szCs w:val="20"/>
        </w:rPr>
        <w:t>EN</w:t>
      </w:r>
      <w:r w:rsidRPr="00726D46">
        <w:rPr>
          <w:rFonts w:cs="Arial"/>
          <w:color w:val="000000"/>
          <w:szCs w:val="20"/>
        </w:rPr>
        <w:t xml:space="preserve"> I</w:t>
      </w:r>
      <w:r>
        <w:rPr>
          <w:rFonts w:cs="Arial"/>
          <w:color w:val="000000"/>
          <w:szCs w:val="20"/>
        </w:rPr>
        <w:t>SO 3657</w:t>
      </w:r>
      <w:r>
        <w:rPr>
          <w:rFonts w:cs="Arial"/>
          <w:bCs/>
          <w:color w:val="000000"/>
          <w:szCs w:val="20"/>
        </w:rPr>
        <w:t>’ye göre yapılır</w:t>
      </w:r>
      <w:r>
        <w:rPr>
          <w:rFonts w:cs="Arial"/>
          <w:color w:val="000000"/>
          <w:szCs w:val="20"/>
        </w:rPr>
        <w:t xml:space="preserve"> ve sonucun</w:t>
      </w:r>
      <w:r>
        <w:rPr>
          <w:rFonts w:cs="Arial"/>
          <w:bCs/>
          <w:color w:val="000000"/>
          <w:szCs w:val="20"/>
        </w:rPr>
        <w:t xml:space="preserve"> Madde </w:t>
      </w:r>
      <w:r w:rsidR="00215B91">
        <w:rPr>
          <w:rFonts w:cs="Arial"/>
          <w:bCs/>
          <w:color w:val="000000"/>
          <w:szCs w:val="20"/>
        </w:rPr>
        <w:t>4</w:t>
      </w:r>
      <w:r>
        <w:rPr>
          <w:rFonts w:cs="Arial"/>
          <w:bCs/>
          <w:color w:val="000000"/>
          <w:szCs w:val="20"/>
        </w:rPr>
        <w:t>.2.2’ye uygun olup olmadığına bakılır.</w:t>
      </w:r>
    </w:p>
    <w:p w:rsidR="00B55B4B" w:rsidRDefault="00B55B4B" w:rsidP="00726D46">
      <w:pPr>
        <w:rPr>
          <w:b/>
          <w:bCs/>
          <w:sz w:val="22"/>
          <w:szCs w:val="20"/>
        </w:rPr>
      </w:pPr>
      <w:bookmarkStart w:id="70" w:name="_Toc71082165"/>
    </w:p>
    <w:p w:rsidR="00C8558D" w:rsidRPr="00726D46" w:rsidRDefault="00E93BF4" w:rsidP="00726D46">
      <w:pPr>
        <w:rPr>
          <w:b/>
          <w:bCs/>
          <w:sz w:val="22"/>
          <w:szCs w:val="20"/>
        </w:rPr>
      </w:pPr>
      <w:r w:rsidRPr="00726D46">
        <w:rPr>
          <w:b/>
          <w:bCs/>
          <w:sz w:val="22"/>
          <w:szCs w:val="20"/>
        </w:rPr>
        <w:t>5.</w:t>
      </w:r>
      <w:r w:rsidR="00C8558D" w:rsidRPr="00726D46">
        <w:rPr>
          <w:b/>
          <w:bCs/>
          <w:sz w:val="22"/>
          <w:szCs w:val="20"/>
        </w:rPr>
        <w:t>3.</w:t>
      </w:r>
      <w:r w:rsidR="00D2074D" w:rsidRPr="00726D46">
        <w:rPr>
          <w:b/>
          <w:bCs/>
          <w:sz w:val="22"/>
          <w:szCs w:val="20"/>
        </w:rPr>
        <w:t>4</w:t>
      </w:r>
      <w:r w:rsidR="00C8558D" w:rsidRPr="00726D46">
        <w:rPr>
          <w:b/>
          <w:bCs/>
          <w:sz w:val="22"/>
          <w:szCs w:val="20"/>
        </w:rPr>
        <w:tab/>
        <w:t>İyot sayısı tayini</w:t>
      </w:r>
      <w:bookmarkEnd w:id="70"/>
    </w:p>
    <w:p w:rsidR="00C8558D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 xml:space="preserve">İyot sayısı tayini, </w:t>
      </w:r>
      <w:r w:rsidR="009176EA" w:rsidRPr="009176EA">
        <w:rPr>
          <w:rFonts w:cs="Arial"/>
          <w:color w:val="000000"/>
          <w:szCs w:val="20"/>
        </w:rPr>
        <w:t>TS EN ISO 3961</w:t>
      </w:r>
      <w:r>
        <w:rPr>
          <w:rFonts w:cs="Arial"/>
          <w:bCs/>
          <w:color w:val="000000"/>
          <w:szCs w:val="20"/>
        </w:rPr>
        <w:t>’e göre yapılır</w:t>
      </w:r>
      <w:r>
        <w:rPr>
          <w:rFonts w:cs="Arial"/>
          <w:color w:val="000000"/>
          <w:szCs w:val="20"/>
        </w:rPr>
        <w:t xml:space="preserve"> ve sonucun</w:t>
      </w:r>
      <w:r>
        <w:rPr>
          <w:rFonts w:cs="Arial"/>
          <w:bCs/>
          <w:color w:val="000000"/>
          <w:szCs w:val="20"/>
        </w:rPr>
        <w:t xml:space="preserve"> Madde </w:t>
      </w:r>
      <w:r w:rsidR="00215B91">
        <w:rPr>
          <w:rFonts w:cs="Arial"/>
          <w:bCs/>
          <w:color w:val="000000"/>
          <w:szCs w:val="20"/>
        </w:rPr>
        <w:t>4</w:t>
      </w:r>
      <w:r>
        <w:rPr>
          <w:rFonts w:cs="Arial"/>
          <w:bCs/>
          <w:color w:val="000000"/>
          <w:szCs w:val="20"/>
        </w:rPr>
        <w:t>.2.2’ye uygun olup olmadığına bakılır.</w:t>
      </w:r>
    </w:p>
    <w:p w:rsidR="00C8558D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r w:rsidRPr="00726D46">
        <w:rPr>
          <w:b/>
          <w:bCs/>
          <w:sz w:val="22"/>
          <w:szCs w:val="20"/>
        </w:rPr>
        <w:t>5.</w:t>
      </w:r>
      <w:r w:rsidR="00C8558D" w:rsidRPr="00726D46">
        <w:rPr>
          <w:b/>
          <w:bCs/>
          <w:sz w:val="22"/>
          <w:szCs w:val="20"/>
        </w:rPr>
        <w:t>3.</w:t>
      </w:r>
      <w:r w:rsidR="00D2074D" w:rsidRPr="00726D46">
        <w:rPr>
          <w:b/>
          <w:bCs/>
          <w:sz w:val="22"/>
          <w:szCs w:val="20"/>
        </w:rPr>
        <w:t>5</w:t>
      </w:r>
      <w:r w:rsidR="00C8558D" w:rsidRPr="00726D46">
        <w:rPr>
          <w:b/>
          <w:bCs/>
          <w:sz w:val="22"/>
          <w:szCs w:val="20"/>
        </w:rPr>
        <w:tab/>
        <w:t>Sabunlaşmayan madde tayini</w:t>
      </w:r>
    </w:p>
    <w:p w:rsidR="00C8558D" w:rsidRDefault="00C8558D" w:rsidP="00C8558D">
      <w:pPr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>Sabunlaşmayan madde tayini, TS 4963’e göre yapılır</w:t>
      </w:r>
      <w:r>
        <w:rPr>
          <w:rFonts w:cs="Arial"/>
          <w:color w:val="000000"/>
          <w:szCs w:val="20"/>
        </w:rPr>
        <w:t xml:space="preserve"> ve sonucun</w:t>
      </w:r>
      <w:r>
        <w:rPr>
          <w:rFonts w:cs="Arial"/>
          <w:bCs/>
          <w:color w:val="000000"/>
          <w:szCs w:val="20"/>
        </w:rPr>
        <w:t xml:space="preserve"> Madde </w:t>
      </w:r>
      <w:r w:rsidR="00215B91">
        <w:rPr>
          <w:rFonts w:cs="Arial"/>
          <w:bCs/>
          <w:color w:val="000000"/>
          <w:szCs w:val="20"/>
        </w:rPr>
        <w:t>4</w:t>
      </w:r>
      <w:r>
        <w:rPr>
          <w:rFonts w:cs="Arial"/>
          <w:bCs/>
          <w:color w:val="000000"/>
          <w:szCs w:val="20"/>
        </w:rPr>
        <w:t>.2.2’ye uygun olup olmadığına bakılır.</w:t>
      </w:r>
    </w:p>
    <w:p w:rsidR="00C8558D" w:rsidRDefault="00C8558D" w:rsidP="00C8558D">
      <w:pPr>
        <w:rPr>
          <w:rFonts w:cs="Arial"/>
          <w:bCs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bookmarkStart w:id="71" w:name="_Toc71082168"/>
      <w:r w:rsidRPr="00726D46">
        <w:rPr>
          <w:b/>
          <w:bCs/>
          <w:sz w:val="22"/>
          <w:szCs w:val="20"/>
        </w:rPr>
        <w:t>5</w:t>
      </w:r>
      <w:r w:rsidR="00C8558D" w:rsidRPr="00726D46">
        <w:rPr>
          <w:b/>
          <w:bCs/>
          <w:sz w:val="22"/>
          <w:szCs w:val="20"/>
        </w:rPr>
        <w:t>.3.</w:t>
      </w:r>
      <w:r w:rsidR="00D2074D" w:rsidRPr="00726D46">
        <w:rPr>
          <w:b/>
          <w:bCs/>
          <w:sz w:val="22"/>
          <w:szCs w:val="20"/>
        </w:rPr>
        <w:t>6</w:t>
      </w:r>
      <w:r w:rsidR="00C8558D" w:rsidRPr="00726D46">
        <w:rPr>
          <w:b/>
          <w:bCs/>
          <w:sz w:val="22"/>
          <w:szCs w:val="20"/>
        </w:rPr>
        <w:tab/>
        <w:t>Yağ asitleri bileşimi tayini</w:t>
      </w:r>
      <w:bookmarkEnd w:id="71"/>
    </w:p>
    <w:p w:rsidR="00C8558D" w:rsidRDefault="00C8558D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Yağ asitleri bileşimi tayini, </w:t>
      </w:r>
      <w:r w:rsidR="006F6298">
        <w:rPr>
          <w:rFonts w:cs="Arial"/>
          <w:color w:val="000000"/>
          <w:szCs w:val="20"/>
        </w:rPr>
        <w:t>TS EN ISO 12966-2</w:t>
      </w:r>
      <w:r>
        <w:rPr>
          <w:rFonts w:cs="Arial"/>
          <w:color w:val="000000"/>
          <w:szCs w:val="20"/>
        </w:rPr>
        <w:t>’</w:t>
      </w:r>
      <w:r w:rsidR="006F6298">
        <w:rPr>
          <w:rFonts w:cs="Arial"/>
          <w:color w:val="000000"/>
          <w:szCs w:val="20"/>
        </w:rPr>
        <w:t>e</w:t>
      </w:r>
      <w:r>
        <w:rPr>
          <w:rFonts w:cs="Arial"/>
          <w:color w:val="000000"/>
          <w:szCs w:val="20"/>
        </w:rPr>
        <w:t xml:space="preserve"> göre hazırlanan numunelerde TS 4664 EN ISO 5508'e göre yapılır ve sonucun Madde </w:t>
      </w:r>
      <w:r w:rsidR="00215B91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.2.2'ye uygun olup olmadığına bakılır.</w:t>
      </w:r>
    </w:p>
    <w:p w:rsidR="00C8558D" w:rsidRDefault="00C8558D" w:rsidP="00C8558D">
      <w:pPr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r w:rsidRPr="00726D46">
        <w:rPr>
          <w:b/>
          <w:bCs/>
          <w:sz w:val="22"/>
          <w:szCs w:val="20"/>
        </w:rPr>
        <w:t>5.3</w:t>
      </w:r>
      <w:r w:rsidR="00D2074D" w:rsidRPr="00726D46">
        <w:rPr>
          <w:b/>
          <w:bCs/>
          <w:sz w:val="22"/>
          <w:szCs w:val="20"/>
        </w:rPr>
        <w:t>.7</w:t>
      </w:r>
      <w:r w:rsidR="00C8558D" w:rsidRPr="00726D46">
        <w:rPr>
          <w:b/>
          <w:bCs/>
          <w:sz w:val="22"/>
          <w:szCs w:val="20"/>
        </w:rPr>
        <w:tab/>
        <w:t>Rutubet ve uçucu madde tayini</w:t>
      </w:r>
      <w:bookmarkEnd w:id="68"/>
      <w:r w:rsidR="00C8558D" w:rsidRPr="00726D46">
        <w:rPr>
          <w:b/>
          <w:bCs/>
          <w:sz w:val="22"/>
          <w:szCs w:val="20"/>
        </w:rPr>
        <w:t xml:space="preserve">  </w:t>
      </w:r>
    </w:p>
    <w:p w:rsidR="00C8558D" w:rsidRDefault="00C8558D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Rutubet ve uçucu madde tayini, TS 1607</w:t>
      </w:r>
      <w:r w:rsidR="003F387C" w:rsidRPr="003F387C">
        <w:rPr>
          <w:rFonts w:cs="Arial"/>
          <w:b/>
          <w:bCs/>
          <w:color w:val="000000"/>
          <w:szCs w:val="20"/>
        </w:rPr>
        <w:t xml:space="preserve"> </w:t>
      </w:r>
      <w:r w:rsidR="003F387C" w:rsidRPr="00215B91">
        <w:rPr>
          <w:rFonts w:cs="Arial"/>
          <w:bCs/>
          <w:color w:val="000000"/>
          <w:szCs w:val="20"/>
        </w:rPr>
        <w:t>EN</w:t>
      </w:r>
      <w:r>
        <w:rPr>
          <w:rFonts w:cs="Arial"/>
          <w:color w:val="000000"/>
          <w:szCs w:val="20"/>
        </w:rPr>
        <w:t xml:space="preserve"> ISO 662'ye göre yapılır ve sonucun Madde </w:t>
      </w:r>
      <w:r w:rsidR="00215B91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.2.2'ye uygun olup olmadığına bakılır.</w:t>
      </w:r>
    </w:p>
    <w:p w:rsidR="00C8558D" w:rsidRDefault="00C8558D" w:rsidP="00C8558D">
      <w:pPr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bookmarkStart w:id="72" w:name="_Toc71082184"/>
      <w:r w:rsidRPr="00726D46">
        <w:rPr>
          <w:b/>
          <w:bCs/>
          <w:sz w:val="22"/>
          <w:szCs w:val="20"/>
        </w:rPr>
        <w:t>5.</w:t>
      </w:r>
      <w:r w:rsidR="00C8558D" w:rsidRPr="00726D46">
        <w:rPr>
          <w:b/>
          <w:bCs/>
          <w:sz w:val="22"/>
          <w:szCs w:val="20"/>
        </w:rPr>
        <w:t>3.</w:t>
      </w:r>
      <w:r w:rsidR="00D2074D" w:rsidRPr="00726D46">
        <w:rPr>
          <w:b/>
          <w:bCs/>
          <w:sz w:val="22"/>
          <w:szCs w:val="20"/>
        </w:rPr>
        <w:t>8</w:t>
      </w:r>
      <w:r w:rsidR="00F3680D">
        <w:rPr>
          <w:b/>
          <w:bCs/>
          <w:sz w:val="22"/>
          <w:szCs w:val="20"/>
        </w:rPr>
        <w:t xml:space="preserve"> </w:t>
      </w:r>
      <w:r w:rsidR="00C8558D" w:rsidRPr="00726D46">
        <w:rPr>
          <w:b/>
          <w:bCs/>
          <w:sz w:val="22"/>
          <w:szCs w:val="20"/>
        </w:rPr>
        <w:t xml:space="preserve">Çözünmeyen </w:t>
      </w:r>
      <w:proofErr w:type="spellStart"/>
      <w:r w:rsidR="00C8558D" w:rsidRPr="00726D46">
        <w:rPr>
          <w:b/>
          <w:bCs/>
          <w:sz w:val="22"/>
          <w:szCs w:val="20"/>
        </w:rPr>
        <w:t>safsızlıklar</w:t>
      </w:r>
      <w:proofErr w:type="spellEnd"/>
      <w:r w:rsidR="00C8558D" w:rsidRPr="00726D46">
        <w:rPr>
          <w:b/>
          <w:bCs/>
          <w:sz w:val="22"/>
          <w:szCs w:val="20"/>
        </w:rPr>
        <w:t xml:space="preserve"> tayini</w:t>
      </w:r>
      <w:bookmarkEnd w:id="72"/>
    </w:p>
    <w:p w:rsidR="00C8558D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Çözünmeyen </w:t>
      </w:r>
      <w:proofErr w:type="spellStart"/>
      <w:r>
        <w:rPr>
          <w:rFonts w:cs="Arial"/>
          <w:color w:val="000000"/>
          <w:szCs w:val="20"/>
        </w:rPr>
        <w:t>safsızlıklar</w:t>
      </w:r>
      <w:proofErr w:type="spellEnd"/>
      <w:r>
        <w:rPr>
          <w:rFonts w:cs="Arial"/>
          <w:color w:val="000000"/>
          <w:szCs w:val="20"/>
        </w:rPr>
        <w:t xml:space="preserve"> tayini, TS</w:t>
      </w:r>
      <w:r w:rsidR="00143691">
        <w:rPr>
          <w:rFonts w:cs="Arial"/>
          <w:color w:val="000000"/>
          <w:szCs w:val="20"/>
        </w:rPr>
        <w:t xml:space="preserve"> E</w:t>
      </w:r>
      <w:r>
        <w:rPr>
          <w:rFonts w:cs="Arial"/>
          <w:color w:val="000000"/>
          <w:szCs w:val="20"/>
        </w:rPr>
        <w:t xml:space="preserve">N ISO 663'e göre yapılır ve sonucun Madde </w:t>
      </w:r>
      <w:r w:rsidR="00215B91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.2.2'ye uygun olup olmadığına bakılır.</w:t>
      </w:r>
    </w:p>
    <w:p w:rsidR="00C8558D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bookmarkStart w:id="73" w:name="_Toc71082181"/>
      <w:bookmarkStart w:id="74" w:name="_Toc71082167"/>
      <w:bookmarkStart w:id="75" w:name="_Toc71082185"/>
      <w:r w:rsidRPr="00726D46">
        <w:rPr>
          <w:b/>
          <w:bCs/>
          <w:sz w:val="22"/>
          <w:szCs w:val="20"/>
        </w:rPr>
        <w:t>5</w:t>
      </w:r>
      <w:r w:rsidR="00C8558D" w:rsidRPr="00726D46">
        <w:rPr>
          <w:b/>
          <w:bCs/>
          <w:sz w:val="22"/>
          <w:szCs w:val="20"/>
        </w:rPr>
        <w:t>.3.</w:t>
      </w:r>
      <w:r w:rsidR="00D2074D" w:rsidRPr="00726D46">
        <w:rPr>
          <w:b/>
          <w:bCs/>
          <w:sz w:val="22"/>
          <w:szCs w:val="20"/>
        </w:rPr>
        <w:t>9</w:t>
      </w:r>
      <w:r w:rsidR="00C8558D" w:rsidRPr="00726D46">
        <w:rPr>
          <w:b/>
          <w:bCs/>
          <w:sz w:val="22"/>
          <w:szCs w:val="20"/>
        </w:rPr>
        <w:tab/>
        <w:t>Sabun</w:t>
      </w:r>
      <w:r w:rsidR="00DF1688">
        <w:rPr>
          <w:b/>
          <w:bCs/>
          <w:sz w:val="22"/>
          <w:szCs w:val="20"/>
        </w:rPr>
        <w:t xml:space="preserve"> oranı</w:t>
      </w:r>
      <w:r w:rsidR="00C8558D" w:rsidRPr="00726D46">
        <w:rPr>
          <w:b/>
          <w:bCs/>
          <w:sz w:val="22"/>
          <w:szCs w:val="20"/>
        </w:rPr>
        <w:t xml:space="preserve"> tayini</w:t>
      </w:r>
      <w:bookmarkEnd w:id="75"/>
    </w:p>
    <w:p w:rsidR="00C8558D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Sabun </w:t>
      </w:r>
      <w:r w:rsidR="00DF1688">
        <w:rPr>
          <w:rFonts w:cs="Arial"/>
          <w:color w:val="000000"/>
          <w:szCs w:val="20"/>
        </w:rPr>
        <w:t>oranı</w:t>
      </w:r>
      <w:r>
        <w:rPr>
          <w:rFonts w:cs="Arial"/>
          <w:color w:val="000000"/>
          <w:szCs w:val="20"/>
        </w:rPr>
        <w:t xml:space="preserve">, TS 5038’e göre </w:t>
      </w:r>
      <w:r w:rsidR="00DF1688">
        <w:rPr>
          <w:rFonts w:cs="Arial"/>
          <w:color w:val="000000"/>
          <w:szCs w:val="20"/>
        </w:rPr>
        <w:t xml:space="preserve">tayin edilir </w:t>
      </w:r>
      <w:r>
        <w:rPr>
          <w:rFonts w:cs="Arial"/>
          <w:color w:val="000000"/>
          <w:szCs w:val="20"/>
        </w:rPr>
        <w:t xml:space="preserve">ve sonucun Madde </w:t>
      </w:r>
      <w:r w:rsidR="00215B91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.2.2'ye uygun olup olmadığına bakılır.</w:t>
      </w:r>
    </w:p>
    <w:p w:rsidR="00C8558D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bookmarkStart w:id="76" w:name="_Toc71082180"/>
      <w:bookmarkEnd w:id="74"/>
      <w:r w:rsidRPr="00726D46">
        <w:rPr>
          <w:b/>
          <w:bCs/>
          <w:sz w:val="22"/>
          <w:szCs w:val="20"/>
        </w:rPr>
        <w:t>5</w:t>
      </w:r>
      <w:r w:rsidR="00C8558D" w:rsidRPr="00726D46">
        <w:rPr>
          <w:b/>
          <w:bCs/>
          <w:sz w:val="22"/>
          <w:szCs w:val="20"/>
        </w:rPr>
        <w:t>.3.1</w:t>
      </w:r>
      <w:r w:rsidR="00D2074D" w:rsidRPr="00726D46">
        <w:rPr>
          <w:b/>
          <w:bCs/>
          <w:sz w:val="22"/>
          <w:szCs w:val="20"/>
        </w:rPr>
        <w:t>0</w:t>
      </w:r>
      <w:r w:rsidR="00C8558D" w:rsidRPr="00726D46">
        <w:rPr>
          <w:b/>
          <w:bCs/>
          <w:sz w:val="22"/>
          <w:szCs w:val="20"/>
        </w:rPr>
        <w:tab/>
      </w:r>
      <w:r w:rsidR="001C58E4">
        <w:rPr>
          <w:b/>
          <w:bCs/>
          <w:sz w:val="22"/>
          <w:szCs w:val="20"/>
        </w:rPr>
        <w:t>Serbest yağ asitleri</w:t>
      </w:r>
      <w:r w:rsidR="00C8558D" w:rsidRPr="00726D46">
        <w:rPr>
          <w:b/>
          <w:bCs/>
          <w:sz w:val="22"/>
          <w:szCs w:val="20"/>
        </w:rPr>
        <w:t xml:space="preserve"> tayini</w:t>
      </w:r>
      <w:bookmarkEnd w:id="76"/>
    </w:p>
    <w:p w:rsidR="00C8558D" w:rsidRDefault="001C58E4" w:rsidP="00C8558D">
      <w:pPr>
        <w:rPr>
          <w:rFonts w:cs="Arial"/>
          <w:color w:val="000000"/>
          <w:szCs w:val="20"/>
        </w:rPr>
      </w:pPr>
      <w:r w:rsidRPr="001C58E4">
        <w:t xml:space="preserve"> </w:t>
      </w:r>
      <w:r w:rsidRPr="001C58E4">
        <w:rPr>
          <w:rFonts w:cs="Arial"/>
          <w:color w:val="000000"/>
          <w:szCs w:val="20"/>
        </w:rPr>
        <w:t>Serbest yağ asitleri</w:t>
      </w:r>
      <w:r w:rsidR="00C8558D">
        <w:rPr>
          <w:rFonts w:cs="Arial"/>
          <w:color w:val="000000"/>
          <w:szCs w:val="20"/>
        </w:rPr>
        <w:t xml:space="preserve"> tayini, TS 342'ye göre yapılır ve sonucun Madde </w:t>
      </w:r>
      <w:r w:rsidR="00215B91">
        <w:rPr>
          <w:rFonts w:cs="Arial"/>
          <w:color w:val="000000"/>
          <w:szCs w:val="20"/>
        </w:rPr>
        <w:t>4</w:t>
      </w:r>
      <w:r w:rsidR="00C8558D">
        <w:rPr>
          <w:rFonts w:cs="Arial"/>
          <w:color w:val="000000"/>
          <w:szCs w:val="20"/>
        </w:rPr>
        <w:t>.2.2'ye uygun olup olmadığına bakılır.</w:t>
      </w:r>
    </w:p>
    <w:p w:rsidR="00C8558D" w:rsidRDefault="00C8558D" w:rsidP="00C8558D">
      <w:pPr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rPr>
          <w:b/>
          <w:bCs/>
          <w:sz w:val="22"/>
          <w:szCs w:val="20"/>
        </w:rPr>
      </w:pPr>
      <w:r w:rsidRPr="00726D46">
        <w:rPr>
          <w:b/>
          <w:bCs/>
          <w:sz w:val="22"/>
          <w:szCs w:val="20"/>
        </w:rPr>
        <w:t>5</w:t>
      </w:r>
      <w:r w:rsidR="00C8558D" w:rsidRPr="00726D46">
        <w:rPr>
          <w:b/>
          <w:bCs/>
          <w:sz w:val="22"/>
          <w:szCs w:val="20"/>
        </w:rPr>
        <w:t>.3.1</w:t>
      </w:r>
      <w:r w:rsidR="00D2074D" w:rsidRPr="00726D46">
        <w:rPr>
          <w:b/>
          <w:bCs/>
          <w:sz w:val="22"/>
          <w:szCs w:val="20"/>
        </w:rPr>
        <w:t>1</w:t>
      </w:r>
      <w:r w:rsidR="00C8558D" w:rsidRPr="00726D46">
        <w:rPr>
          <w:b/>
          <w:bCs/>
          <w:sz w:val="22"/>
          <w:szCs w:val="20"/>
        </w:rPr>
        <w:tab/>
        <w:t>Peroksit sayısı tayini</w:t>
      </w:r>
      <w:bookmarkEnd w:id="73"/>
    </w:p>
    <w:p w:rsidR="00C8558D" w:rsidRDefault="00C8558D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Peroksit sayısı tayini, TS</w:t>
      </w:r>
      <w:r w:rsidR="001B5AFA">
        <w:rPr>
          <w:rFonts w:cs="Arial"/>
          <w:color w:val="000000"/>
          <w:szCs w:val="20"/>
        </w:rPr>
        <w:t xml:space="preserve"> EN </w:t>
      </w:r>
      <w:r>
        <w:rPr>
          <w:rFonts w:cs="Arial"/>
          <w:color w:val="000000"/>
          <w:szCs w:val="20"/>
        </w:rPr>
        <w:t xml:space="preserve">ISO 3960'a göre yapılır ve sonucun Madde </w:t>
      </w:r>
      <w:r w:rsidR="001B5AFA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.2.2'ye uygun olup olmadığına bakılır.</w:t>
      </w:r>
    </w:p>
    <w:p w:rsidR="00E923AA" w:rsidRPr="00726D46" w:rsidRDefault="00C37C66" w:rsidP="00E923AA">
      <w:pPr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5.3.12</w:t>
      </w:r>
      <w:r w:rsidR="00E923AA" w:rsidRPr="00726D46">
        <w:rPr>
          <w:b/>
          <w:bCs/>
          <w:sz w:val="22"/>
          <w:szCs w:val="20"/>
        </w:rPr>
        <w:tab/>
      </w:r>
      <w:r w:rsidR="00E923AA">
        <w:rPr>
          <w:b/>
          <w:bCs/>
          <w:sz w:val="22"/>
          <w:szCs w:val="20"/>
        </w:rPr>
        <w:t xml:space="preserve">Toplam sterol </w:t>
      </w:r>
      <w:r w:rsidR="00E923AA" w:rsidRPr="00726D46">
        <w:rPr>
          <w:b/>
          <w:bCs/>
          <w:sz w:val="22"/>
          <w:szCs w:val="20"/>
        </w:rPr>
        <w:t>tayini</w:t>
      </w:r>
    </w:p>
    <w:p w:rsidR="00E923AA" w:rsidRDefault="00E923AA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Toplam sterol tayini, </w:t>
      </w:r>
      <w:r w:rsidRPr="00E923AA">
        <w:rPr>
          <w:rFonts w:cs="Arial"/>
          <w:color w:val="000000"/>
          <w:szCs w:val="20"/>
        </w:rPr>
        <w:t>TS EN ISO 12228-1</w:t>
      </w:r>
      <w:r>
        <w:rPr>
          <w:rFonts w:cs="Arial"/>
          <w:color w:val="000000"/>
          <w:szCs w:val="20"/>
        </w:rPr>
        <w:t xml:space="preserve">’e </w:t>
      </w:r>
      <w:r w:rsidRPr="00E923AA">
        <w:rPr>
          <w:rFonts w:cs="Arial"/>
          <w:color w:val="000000"/>
          <w:szCs w:val="20"/>
        </w:rPr>
        <w:t>göre yapılır ve sonucun Madde 4.2.2'ye uygun olup olmadığına bakılır.</w:t>
      </w:r>
    </w:p>
    <w:p w:rsidR="00C8558D" w:rsidRDefault="00C8558D" w:rsidP="00C8558D">
      <w:pPr>
        <w:rPr>
          <w:rFonts w:cs="Arial"/>
          <w:bCs/>
          <w:color w:val="000000"/>
          <w:szCs w:val="20"/>
        </w:rPr>
      </w:pPr>
      <w:bookmarkStart w:id="77" w:name="_Toc513191209"/>
      <w:bookmarkStart w:id="78" w:name="_Toc70739598"/>
      <w:bookmarkStart w:id="79" w:name="_Toc71082187"/>
      <w:bookmarkEnd w:id="67"/>
    </w:p>
    <w:p w:rsidR="00C8558D" w:rsidRPr="00726D46" w:rsidRDefault="00E93BF4" w:rsidP="00726D46">
      <w:pPr>
        <w:rPr>
          <w:b/>
          <w:bCs/>
          <w:sz w:val="22"/>
          <w:szCs w:val="20"/>
        </w:rPr>
      </w:pPr>
      <w:r w:rsidRPr="00726D46">
        <w:rPr>
          <w:b/>
          <w:bCs/>
          <w:sz w:val="22"/>
          <w:szCs w:val="20"/>
        </w:rPr>
        <w:t>5</w:t>
      </w:r>
      <w:r w:rsidR="00C8558D" w:rsidRPr="00726D46">
        <w:rPr>
          <w:b/>
          <w:bCs/>
          <w:sz w:val="22"/>
          <w:szCs w:val="20"/>
        </w:rPr>
        <w:t>.3.1</w:t>
      </w:r>
      <w:r w:rsidR="00D2074D" w:rsidRPr="00726D46">
        <w:rPr>
          <w:b/>
          <w:bCs/>
          <w:sz w:val="22"/>
          <w:szCs w:val="20"/>
        </w:rPr>
        <w:t>3</w:t>
      </w:r>
      <w:r w:rsidR="00C8558D" w:rsidRPr="00726D46">
        <w:rPr>
          <w:b/>
          <w:bCs/>
          <w:sz w:val="22"/>
          <w:szCs w:val="20"/>
        </w:rPr>
        <w:tab/>
      </w:r>
      <w:bookmarkEnd w:id="77"/>
      <w:bookmarkEnd w:id="78"/>
      <w:bookmarkEnd w:id="79"/>
      <w:r w:rsidR="006972CB">
        <w:rPr>
          <w:b/>
          <w:bCs/>
          <w:sz w:val="22"/>
          <w:szCs w:val="20"/>
        </w:rPr>
        <w:t xml:space="preserve"> </w:t>
      </w:r>
      <w:r w:rsidR="001D7F04">
        <w:rPr>
          <w:b/>
          <w:bCs/>
          <w:sz w:val="22"/>
          <w:szCs w:val="20"/>
        </w:rPr>
        <w:t>Kurşun tayini</w:t>
      </w:r>
    </w:p>
    <w:p w:rsidR="001E28B1" w:rsidRPr="001E28B1" w:rsidRDefault="001D7F04" w:rsidP="001E28B1">
      <w:pPr>
        <w:rPr>
          <w:rFonts w:cs="Arial"/>
          <w:noProof/>
          <w:color w:val="000000"/>
        </w:rPr>
      </w:pPr>
      <w:r w:rsidRPr="00431502">
        <w:rPr>
          <w:rFonts w:cs="Arial"/>
          <w:bCs/>
          <w:color w:val="000000"/>
          <w:szCs w:val="20"/>
        </w:rPr>
        <w:t xml:space="preserve">Kurşun </w:t>
      </w:r>
      <w:r w:rsidR="00C8558D" w:rsidRPr="00431502">
        <w:rPr>
          <w:rFonts w:cs="Arial"/>
          <w:bCs/>
          <w:color w:val="000000"/>
          <w:szCs w:val="20"/>
        </w:rPr>
        <w:t xml:space="preserve">tayini, </w:t>
      </w:r>
      <w:r w:rsidR="001E28B1" w:rsidRPr="001E28B1">
        <w:rPr>
          <w:rFonts w:cs="Arial"/>
          <w:noProof/>
          <w:color w:val="000000"/>
        </w:rPr>
        <w:t xml:space="preserve">TS </w:t>
      </w:r>
      <w:r w:rsidR="000A0311">
        <w:rPr>
          <w:rFonts w:cs="Arial"/>
          <w:noProof/>
          <w:color w:val="000000"/>
        </w:rPr>
        <w:t>6182</w:t>
      </w:r>
      <w:r w:rsidR="001E28B1" w:rsidRPr="001E28B1">
        <w:rPr>
          <w:rFonts w:cs="Arial"/>
          <w:noProof/>
          <w:color w:val="000000"/>
        </w:rPr>
        <w:t>’e göre yapılır ve sonucun Madde 4.2.2’ye uygun olup olmadığına bakılır.</w:t>
      </w:r>
    </w:p>
    <w:p w:rsidR="00431502" w:rsidRDefault="00431502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80" w:name="_Toc70739601"/>
      <w:bookmarkStart w:id="81" w:name="_Toc71082190"/>
      <w:bookmarkStart w:id="82" w:name="_Toc94964163"/>
      <w:bookmarkStart w:id="83" w:name="_Toc249189877"/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84" w:name="_Toc415903854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.4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Değerlendirme</w:t>
      </w:r>
      <w:bookmarkEnd w:id="80"/>
      <w:bookmarkEnd w:id="81"/>
      <w:bookmarkEnd w:id="82"/>
      <w:bookmarkEnd w:id="83"/>
      <w:bookmarkEnd w:id="84"/>
      <w:r w:rsidR="00C8558D" w:rsidRPr="00726D46">
        <w:rPr>
          <w:rFonts w:cs="Arial"/>
          <w:noProof w:val="0"/>
          <w:szCs w:val="20"/>
          <w:lang w:val="tr-TR" w:eastAsia="tr-TR"/>
        </w:rPr>
        <w:t xml:space="preserve"> </w:t>
      </w:r>
    </w:p>
    <w:p w:rsidR="00C8558D" w:rsidRDefault="00C8558D" w:rsidP="00C8558D">
      <w:pPr>
        <w:tabs>
          <w:tab w:val="right" w:pos="733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sonuçlarının her biri bu standarda uygunsa parti standarda uygun sayılır.</w:t>
      </w:r>
    </w:p>
    <w:p w:rsidR="00C8558D" w:rsidRDefault="00C8558D" w:rsidP="00C8558D">
      <w:pPr>
        <w:tabs>
          <w:tab w:val="right" w:pos="2694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85" w:name="_Toc70739602"/>
      <w:bookmarkStart w:id="86" w:name="_Toc71082191"/>
      <w:bookmarkStart w:id="87" w:name="_Toc94964164"/>
      <w:bookmarkStart w:id="88" w:name="_Toc249189878"/>
      <w:bookmarkStart w:id="89" w:name="_Toc415903855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.5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Muayene ve deney raporu</w:t>
      </w:r>
      <w:bookmarkEnd w:id="85"/>
      <w:bookmarkEnd w:id="86"/>
      <w:bookmarkEnd w:id="87"/>
      <w:bookmarkEnd w:id="88"/>
      <w:bookmarkEnd w:id="89"/>
    </w:p>
    <w:p w:rsidR="00C8558D" w:rsidRDefault="00C8558D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raporunda en az aşağıdaki bilgiler bulunmalıdır: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Firmanın adı ve adresi,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deneyin yapıldığı yerin ve l</w:t>
      </w:r>
      <w:r w:rsidR="0023508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boratuvarın adı,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 yapanın ve/veya raporu imzalayan yetkililerin adları görev ve meslekleri,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Numunenin </w:t>
      </w:r>
      <w:r w:rsidR="00D2074D">
        <w:rPr>
          <w:rFonts w:cs="Arial"/>
          <w:color w:val="000000"/>
          <w:szCs w:val="20"/>
        </w:rPr>
        <w:t xml:space="preserve">analize </w:t>
      </w:r>
      <w:r>
        <w:rPr>
          <w:rFonts w:cs="Arial"/>
          <w:color w:val="000000"/>
          <w:szCs w:val="20"/>
        </w:rPr>
        <w:t>alındığı tarih ile muayene ve deney tarihi,</w:t>
      </w:r>
      <w:r w:rsidR="00D2074D">
        <w:rPr>
          <w:rFonts w:cs="Arial"/>
          <w:color w:val="000000"/>
          <w:szCs w:val="20"/>
        </w:rPr>
        <w:t xml:space="preserve"> kullanılan </w:t>
      </w:r>
      <w:r w:rsidR="006C4097">
        <w:rPr>
          <w:rFonts w:cs="Arial"/>
          <w:color w:val="000000"/>
          <w:szCs w:val="20"/>
        </w:rPr>
        <w:t>yöntem</w:t>
      </w:r>
      <w:r w:rsidR="00D2074D">
        <w:rPr>
          <w:rFonts w:cs="Arial"/>
          <w:color w:val="000000"/>
          <w:szCs w:val="20"/>
        </w:rPr>
        <w:t>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Numunenin tanıtılması,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Muayene ve deneylerde uygulanan </w:t>
      </w:r>
      <w:proofErr w:type="spellStart"/>
      <w:r>
        <w:rPr>
          <w:rFonts w: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
          <w:szCs w:val="20"/>
        </w:rPr>
        <w:t xml:space="preserve"> numaraları,</w:t>
      </w:r>
    </w:p>
    <w:p w:rsidR="00C8558D" w:rsidRDefault="00D2074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Analiz s</w:t>
      </w:r>
      <w:r w:rsidR="00C8558D">
        <w:rPr>
          <w:rFonts w:cs="Arial"/>
          <w:color w:val="000000"/>
          <w:szCs w:val="20"/>
        </w:rPr>
        <w:t>onuçları,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Standarda uygun olup olmadığı,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Rapora ait seri numarası ve tarih, her sayfanın numarası ve toplam sayfa sayısı.</w:t>
      </w:r>
      <w:proofErr w:type="gramEnd"/>
    </w:p>
    <w:p w:rsidR="00C8558D" w:rsidRDefault="00C8558D" w:rsidP="00C8558D">
      <w:pPr>
        <w:tabs>
          <w:tab w:val="right" w:pos="2411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5B3A12" w:rsidRDefault="00E93BF4" w:rsidP="004F4747">
      <w:pPr>
        <w:pStyle w:val="Balk1"/>
        <w:rPr>
          <w:snapToGrid w:val="0"/>
          <w:lang w:val="tr-TR"/>
        </w:rPr>
      </w:pPr>
      <w:bookmarkStart w:id="90" w:name="_Toc70739603"/>
      <w:bookmarkStart w:id="91" w:name="_Toc71082192"/>
      <w:bookmarkStart w:id="92" w:name="_Toc94964165"/>
      <w:bookmarkStart w:id="93" w:name="_Toc249189879"/>
      <w:bookmarkStart w:id="94" w:name="_Toc415903856"/>
      <w:r w:rsidRPr="005B3A12">
        <w:rPr>
          <w:snapToGrid w:val="0"/>
          <w:lang w:val="tr-TR"/>
        </w:rPr>
        <w:t>6</w:t>
      </w:r>
      <w:r w:rsidR="00C8558D" w:rsidRPr="005B3A12">
        <w:rPr>
          <w:snapToGrid w:val="0"/>
          <w:lang w:val="tr-TR"/>
        </w:rPr>
        <w:tab/>
        <w:t>Piyasaya arz</w:t>
      </w:r>
      <w:bookmarkEnd w:id="90"/>
      <w:bookmarkEnd w:id="91"/>
      <w:bookmarkEnd w:id="92"/>
      <w:bookmarkEnd w:id="93"/>
      <w:bookmarkEnd w:id="94"/>
      <w:r w:rsidR="00C8558D" w:rsidRPr="005B3A12">
        <w:rPr>
          <w:snapToGrid w:val="0"/>
          <w:lang w:val="tr-TR"/>
        </w:rPr>
        <w:t xml:space="preserve"> </w:t>
      </w:r>
    </w:p>
    <w:p w:rsidR="00C8558D" w:rsidRDefault="00C8558D" w:rsidP="00C8558D">
      <w:pPr>
        <w:tabs>
          <w:tab w:val="right" w:pos="2411"/>
        </w:tabs>
        <w:autoSpaceDE w:val="0"/>
        <w:autoSpaceDN w:val="0"/>
        <w:adjustRightInd w:val="0"/>
        <w:ind w:left="4"/>
        <w:rPr>
          <w:rFonts w:cs="Arial"/>
          <w:b/>
          <w:color w:val="00000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95" w:name="_Toc70739604"/>
      <w:bookmarkStart w:id="96" w:name="_Toc71082193"/>
      <w:bookmarkStart w:id="97" w:name="_Toc94964166"/>
      <w:bookmarkStart w:id="98" w:name="_Toc249189880"/>
      <w:bookmarkStart w:id="99" w:name="_Toc415903857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.1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Ambal</w:t>
      </w:r>
      <w:r w:rsidR="00726D46">
        <w:rPr>
          <w:rFonts w:cs="Arial"/>
          <w:noProof w:val="0"/>
          <w:szCs w:val="20"/>
          <w:lang w:val="tr-TR" w:eastAsia="tr-TR"/>
        </w:rPr>
        <w:t>a</w:t>
      </w:r>
      <w:r w:rsidR="00C8558D" w:rsidRPr="00726D46">
        <w:rPr>
          <w:rFonts w:cs="Arial"/>
          <w:noProof w:val="0"/>
          <w:szCs w:val="20"/>
          <w:lang w:val="tr-TR" w:eastAsia="tr-TR"/>
        </w:rPr>
        <w:t>jlama</w:t>
      </w:r>
      <w:bookmarkEnd w:id="95"/>
      <w:bookmarkEnd w:id="96"/>
      <w:bookmarkEnd w:id="97"/>
      <w:bookmarkEnd w:id="98"/>
      <w:bookmarkEnd w:id="99"/>
    </w:p>
    <w:p w:rsidR="00235087" w:rsidRDefault="00C8558D" w:rsidP="00C8558D">
      <w:pPr>
        <w:tabs>
          <w:tab w:val="right" w:pos="96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Ayçiçek yağı</w:t>
      </w:r>
      <w:r w:rsidR="001B5AFA">
        <w:rPr>
          <w:rFonts w:cs="Arial"/>
          <w:color w:val="000000"/>
          <w:szCs w:val="20"/>
        </w:rPr>
        <w:t xml:space="preserve"> mevzuatına uygun ambalajlarda piyasaya arz edilir. </w:t>
      </w:r>
    </w:p>
    <w:p w:rsidR="00C8558D" w:rsidRDefault="00C8558D" w:rsidP="00C8558D">
      <w:pPr>
        <w:tabs>
          <w:tab w:val="right" w:pos="966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00" w:name="_Toc70739605"/>
      <w:bookmarkStart w:id="101" w:name="_Toc71082197"/>
      <w:bookmarkStart w:id="102" w:name="_Toc94964167"/>
      <w:bookmarkStart w:id="103" w:name="_Toc249189881"/>
      <w:bookmarkStart w:id="104" w:name="_Toc415903858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.2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İşaretleme</w:t>
      </w:r>
      <w:bookmarkEnd w:id="100"/>
      <w:bookmarkEnd w:id="101"/>
      <w:bookmarkEnd w:id="102"/>
      <w:bookmarkEnd w:id="103"/>
      <w:bookmarkEnd w:id="104"/>
    </w:p>
    <w:p w:rsidR="00FC68C9" w:rsidRDefault="00FC68C9" w:rsidP="00FC68C9">
      <w:r>
        <w:t>Yağların ambalajları üzerine en az aşağıdaki bilgiler okunaklı olarak silinmeyecek ve bozulmayacak şekilde yazılır veya basılır. Ambalajın ağzı açıldığında tekrar kapatılma</w:t>
      </w:r>
      <w:r w:rsidR="006C4097">
        <w:t>malı</w:t>
      </w:r>
      <w:r>
        <w:t xml:space="preserve"> veya tekrar kapatıldığında </w:t>
      </w:r>
      <w:r w:rsidR="00F377BC">
        <w:t xml:space="preserve">açılıp </w:t>
      </w:r>
      <w:r>
        <w:t>kapatıldığı belli olacak şekilde kapatılmalıdır.</w:t>
      </w:r>
    </w:p>
    <w:p w:rsidR="00FC68C9" w:rsidRDefault="00FC68C9" w:rsidP="00FC68C9"/>
    <w:p w:rsidR="00FC68C9" w:rsidRDefault="00FC68C9" w:rsidP="00FC68C9">
      <w:pPr>
        <w:numPr>
          <w:ilvl w:val="0"/>
          <w:numId w:val="24"/>
        </w:numPr>
        <w:ind w:left="426" w:hanging="426"/>
      </w:pPr>
      <w:r>
        <w:t>İmalatçı, ihracatçı, ithalatçı firmalardan en az birinin ticari unvanı veya kısa adı, varsa tescilli markası (sadece ithalatçı firmanın ticari unvanı veya kısa adının yazılması durumunda, ambalajlar üzerine, “Türk Malı”  ibare</w:t>
      </w:r>
      <w:r w:rsidR="004B44FF">
        <w:t>si</w:t>
      </w:r>
      <w:r>
        <w:t>nin yazılması),</w:t>
      </w:r>
    </w:p>
    <w:p w:rsidR="00FC68C9" w:rsidRDefault="00FC68C9" w:rsidP="00FC68C9">
      <w:pPr>
        <w:numPr>
          <w:ilvl w:val="0"/>
          <w:numId w:val="23"/>
        </w:numPr>
        <w:jc w:val="left"/>
      </w:pPr>
      <w:r>
        <w:t xml:space="preserve">Bu standardın işaret ve numarası ( TS </w:t>
      </w:r>
      <w:r w:rsidR="000B6BFF">
        <w:t>886</w:t>
      </w:r>
      <w:r>
        <w:t xml:space="preserve"> şeklinde),</w:t>
      </w:r>
    </w:p>
    <w:p w:rsidR="00FC68C9" w:rsidRDefault="006C4097" w:rsidP="00FC68C9">
      <w:pPr>
        <w:numPr>
          <w:ilvl w:val="0"/>
          <w:numId w:val="23"/>
        </w:numPr>
        <w:jc w:val="left"/>
      </w:pPr>
      <w:r>
        <w:t>Mamul</w:t>
      </w:r>
      <w:r w:rsidR="00FC68C9">
        <w:t xml:space="preserve"> adı (</w:t>
      </w:r>
      <w:r w:rsidR="000B6BFF">
        <w:t xml:space="preserve">Yemeklik </w:t>
      </w:r>
      <w:proofErr w:type="spellStart"/>
      <w:r w:rsidR="000B6BFF">
        <w:t>ayçiçe</w:t>
      </w:r>
      <w:r w:rsidR="00F83FD1">
        <w:t>k</w:t>
      </w:r>
      <w:proofErr w:type="spellEnd"/>
      <w:r w:rsidR="000B6BFF">
        <w:t xml:space="preserve"> yağı</w:t>
      </w:r>
      <w:r w:rsidR="00FC68C9">
        <w:t>),</w:t>
      </w:r>
    </w:p>
    <w:p w:rsidR="00FC68C9" w:rsidRDefault="009F601D" w:rsidP="00FC68C9">
      <w:pPr>
        <w:numPr>
          <w:ilvl w:val="0"/>
          <w:numId w:val="23"/>
        </w:numPr>
        <w:jc w:val="left"/>
      </w:pPr>
      <w:r>
        <w:t>Tip</w:t>
      </w:r>
      <w:r w:rsidR="006A3785">
        <w:t>i</w:t>
      </w:r>
      <w:r w:rsidR="00FC68C9">
        <w:t>,</w:t>
      </w:r>
    </w:p>
    <w:p w:rsidR="00FC68C9" w:rsidRDefault="00FC68C9" w:rsidP="00FC68C9">
      <w:pPr>
        <w:numPr>
          <w:ilvl w:val="0"/>
          <w:numId w:val="23"/>
        </w:numPr>
        <w:jc w:val="left"/>
      </w:pPr>
      <w:r>
        <w:t>Üretim bölgesi veya yerel ismi (</w:t>
      </w:r>
      <w:r w:rsidR="001C6B21">
        <w:t xml:space="preserve">isteğe </w:t>
      </w:r>
      <w:r>
        <w:t>bağlı),</w:t>
      </w:r>
    </w:p>
    <w:p w:rsidR="00FC68C9" w:rsidRDefault="00FC68C9" w:rsidP="00FC68C9">
      <w:pPr>
        <w:numPr>
          <w:ilvl w:val="0"/>
          <w:numId w:val="23"/>
        </w:numPr>
        <w:jc w:val="left"/>
      </w:pPr>
      <w:r>
        <w:t>Parti, seri veya kod numaralarından en az biri,</w:t>
      </w:r>
    </w:p>
    <w:p w:rsidR="00FC68C9" w:rsidRDefault="009F601D" w:rsidP="009F601D">
      <w:pPr>
        <w:numPr>
          <w:ilvl w:val="0"/>
          <w:numId w:val="23"/>
        </w:numPr>
        <w:jc w:val="left"/>
      </w:pPr>
      <w:r w:rsidRPr="009F601D">
        <w:t xml:space="preserve">Net dolum hacmi ve/veya net kütlesi (en az </w:t>
      </w:r>
      <w:proofErr w:type="spellStart"/>
      <w:r w:rsidRPr="009F601D">
        <w:t>mL</w:t>
      </w:r>
      <w:proofErr w:type="spellEnd"/>
      <w:r w:rsidRPr="009F601D">
        <w:t>, L, g veya kg olarak) (ihracatta sadece o ülkede geçerli ölçü birimi yazılabilir),</w:t>
      </w:r>
    </w:p>
    <w:p w:rsidR="00FC68C9" w:rsidRDefault="00FC68C9" w:rsidP="00FC68C9">
      <w:pPr>
        <w:numPr>
          <w:ilvl w:val="0"/>
          <w:numId w:val="23"/>
        </w:numPr>
        <w:jc w:val="left"/>
      </w:pPr>
      <w:r>
        <w:t>Firmaca tavsiye edilen son tüketim tarihi,</w:t>
      </w:r>
    </w:p>
    <w:p w:rsidR="00FC68C9" w:rsidRDefault="00FC68C9" w:rsidP="00FC68C9">
      <w:pPr>
        <w:numPr>
          <w:ilvl w:val="0"/>
          <w:numId w:val="23"/>
        </w:numPr>
        <w:jc w:val="left"/>
      </w:pPr>
      <w:r>
        <w:t>Büyük ambalajlardaki küçük tüketici ambalajların sayısı ve kütlesi (isteğe bağlı).</w:t>
      </w:r>
    </w:p>
    <w:p w:rsidR="00FC68C9" w:rsidRDefault="00FC68C9" w:rsidP="00FC68C9"/>
    <w:p w:rsidR="00FC68C9" w:rsidRDefault="00FC68C9" w:rsidP="00FC68C9">
      <w:pPr>
        <w:pStyle w:val="GvdeMetni"/>
      </w:pPr>
      <w:r>
        <w:t>Gerektiğinde bu bilgiler Türkçe’nin yanı sıra yabancı dil</w:t>
      </w:r>
      <w:r w:rsidR="006A3785">
        <w:t>lerde</w:t>
      </w:r>
      <w:r>
        <w:t xml:space="preserve"> de yazılabilir. </w:t>
      </w:r>
    </w:p>
    <w:p w:rsidR="00FC68C9" w:rsidRDefault="00FC68C9" w:rsidP="00C8558D">
      <w:pPr>
        <w:tabs>
          <w:tab w:val="right" w:pos="148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C8558D" w:rsidRDefault="00E93BF4" w:rsidP="00C8558D">
      <w:pPr>
        <w:pStyle w:val="Balk1"/>
        <w:rPr>
          <w:lang w:val="tr-TR"/>
        </w:rPr>
      </w:pPr>
      <w:bookmarkStart w:id="105" w:name="_Toc70739606"/>
      <w:bookmarkStart w:id="106" w:name="_Toc71082198"/>
      <w:bookmarkStart w:id="107" w:name="_Toc94964168"/>
      <w:bookmarkStart w:id="108" w:name="_Toc249189882"/>
      <w:bookmarkStart w:id="109" w:name="_Toc415903859"/>
      <w:r>
        <w:rPr>
          <w:lang w:val="tr-TR"/>
        </w:rPr>
        <w:t>7</w:t>
      </w:r>
      <w:r w:rsidR="00C8558D" w:rsidRPr="00C8558D">
        <w:rPr>
          <w:lang w:val="tr-TR"/>
        </w:rPr>
        <w:tab/>
        <w:t>Çeşitli hükümler</w:t>
      </w:r>
      <w:bookmarkEnd w:id="105"/>
      <w:bookmarkEnd w:id="106"/>
      <w:bookmarkEnd w:id="107"/>
      <w:bookmarkEnd w:id="108"/>
      <w:bookmarkEnd w:id="109"/>
    </w:p>
    <w:p w:rsidR="00C8558D" w:rsidRDefault="00C8558D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İmal</w:t>
      </w:r>
      <w:r w:rsidR="0023508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 xml:space="preserve">tçı veya satıcı bu standarda uygun olarak imal edildiğini beyan ettiği </w:t>
      </w:r>
      <w:proofErr w:type="spellStart"/>
      <w:r>
        <w:rPr>
          <w:rFonts w:cs="Arial"/>
          <w:color w:val="000000"/>
          <w:szCs w:val="20"/>
        </w:rPr>
        <w:t>ayçiçek</w:t>
      </w:r>
      <w:proofErr w:type="spellEnd"/>
      <w:r>
        <w:rPr>
          <w:rFonts w:cs="Arial"/>
          <w:color w:val="000000"/>
          <w:szCs w:val="20"/>
        </w:rPr>
        <w:t xml:space="preserve"> yağı için istendiğinde standarda uygunluk beyannamesi vermeye veya göstermeye mecburdur. Bu beyannamede satış konusu </w:t>
      </w:r>
      <w:proofErr w:type="spellStart"/>
      <w:r>
        <w:rPr>
          <w:rFonts w:cs="Arial"/>
          <w:color w:val="000000"/>
          <w:szCs w:val="20"/>
        </w:rPr>
        <w:t>ayçiçek</w:t>
      </w:r>
      <w:proofErr w:type="spellEnd"/>
      <w:r>
        <w:rPr>
          <w:rFonts w:cs="Arial"/>
          <w:color w:val="000000"/>
          <w:szCs w:val="20"/>
        </w:rPr>
        <w:t xml:space="preserve"> yağının;</w:t>
      </w:r>
    </w:p>
    <w:p w:rsidR="007862A3" w:rsidRDefault="007862A3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>eki özelliklere uygun olduğunun,</w:t>
      </w: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5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 xml:space="preserve">eki muayene ve deneylerin yapılmış ve uygun sonuç alınmış bulunduğunun </w:t>
      </w: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belirtilmesi</w:t>
      </w:r>
      <w:proofErr w:type="gramEnd"/>
      <w:r>
        <w:rPr>
          <w:rFonts w:cs="Arial"/>
          <w:color w:val="000000"/>
          <w:szCs w:val="20"/>
        </w:rPr>
        <w:t xml:space="preserve"> gerekir. </w:t>
      </w: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b/>
          <w:color w:val="000000"/>
          <w:szCs w:val="20"/>
        </w:rPr>
      </w:pPr>
    </w:p>
    <w:p w:rsidR="00C8558D" w:rsidRPr="007862A3" w:rsidRDefault="006F456F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 w:rsidRPr="007862A3">
        <w:rPr>
          <w:rFonts w:cs="Arial"/>
          <w:b/>
          <w:color w:val="000000"/>
          <w:szCs w:val="20"/>
        </w:rPr>
        <w:t>Not</w:t>
      </w:r>
      <w:r w:rsidR="007862A3">
        <w:rPr>
          <w:rFonts w:cs="Arial"/>
          <w:b/>
          <w:color w:val="000000"/>
          <w:szCs w:val="20"/>
        </w:rPr>
        <w:t xml:space="preserve"> </w:t>
      </w:r>
      <w:r w:rsidRPr="007862A3">
        <w:rPr>
          <w:rFonts w:cs="Arial"/>
          <w:b/>
          <w:color w:val="000000"/>
          <w:szCs w:val="20"/>
        </w:rPr>
        <w:t xml:space="preserve">- </w:t>
      </w:r>
      <w:r w:rsidRPr="007862A3">
        <w:rPr>
          <w:rFonts w:cs="Arial"/>
          <w:color w:val="000000"/>
          <w:szCs w:val="20"/>
        </w:rPr>
        <w:t xml:space="preserve">Bu </w:t>
      </w:r>
      <w:proofErr w:type="spellStart"/>
      <w:r w:rsidRPr="007862A3">
        <w:rPr>
          <w:rFonts w:cs="Arial"/>
          <w:color w:val="000000"/>
          <w:szCs w:val="20"/>
        </w:rPr>
        <w:t>standardda</w:t>
      </w:r>
      <w:proofErr w:type="spellEnd"/>
      <w:r w:rsidRPr="007862A3">
        <w:rPr>
          <w:rFonts w:cs="Arial"/>
          <w:color w:val="000000"/>
          <w:szCs w:val="20"/>
        </w:rPr>
        <w:t xml:space="preserve"> yer almayan hususlarda, Türk Gıda Kodeksi </w:t>
      </w:r>
      <w:r w:rsidR="004F0D80">
        <w:rPr>
          <w:rFonts w:cs="Arial"/>
          <w:color w:val="000000"/>
          <w:szCs w:val="20"/>
        </w:rPr>
        <w:t>hükümlerine</w:t>
      </w:r>
      <w:r w:rsidR="004F0D80" w:rsidRPr="007862A3">
        <w:rPr>
          <w:rFonts w:cs="Arial"/>
          <w:color w:val="000000"/>
          <w:szCs w:val="20"/>
        </w:rPr>
        <w:t xml:space="preserve"> </w:t>
      </w:r>
      <w:r w:rsidRPr="007862A3">
        <w:rPr>
          <w:rFonts w:cs="Arial"/>
          <w:color w:val="000000"/>
          <w:szCs w:val="20"/>
        </w:rPr>
        <w:t>göre işlem yapılır.</w:t>
      </w:r>
    </w:p>
    <w:p w:rsidR="00B55B4B" w:rsidRDefault="00B55B4B" w:rsidP="00726D46">
      <w:pPr>
        <w:rPr>
          <w:b/>
          <w:bCs/>
          <w:sz w:val="22"/>
          <w:szCs w:val="20"/>
        </w:rPr>
      </w:pPr>
      <w:bookmarkStart w:id="110" w:name="_Toc70739607"/>
      <w:bookmarkStart w:id="111" w:name="_Toc71082199"/>
      <w:bookmarkStart w:id="112" w:name="_Toc94964169"/>
      <w:bookmarkStart w:id="113" w:name="_Toc249189883"/>
    </w:p>
    <w:p w:rsidR="00C8558D" w:rsidRDefault="00B55B4B" w:rsidP="00C8558D">
      <w:pPr>
        <w:pStyle w:val="Balk1"/>
        <w:jc w:val="center"/>
      </w:pPr>
      <w:r>
        <w:br w:type="page"/>
      </w:r>
      <w:bookmarkStart w:id="114" w:name="_Toc415903860"/>
      <w:r w:rsidR="00C8558D">
        <w:t>Yararlanılan kaynaklar</w:t>
      </w:r>
      <w:bookmarkEnd w:id="110"/>
      <w:bookmarkEnd w:id="111"/>
      <w:bookmarkEnd w:id="112"/>
      <w:bookmarkEnd w:id="113"/>
      <w:bookmarkEnd w:id="114"/>
    </w:p>
    <w:p w:rsidR="00C8558D" w:rsidRDefault="00C8558D" w:rsidP="00C8558D">
      <w:pPr>
        <w:tabs>
          <w:tab w:val="right" w:pos="8464"/>
        </w:tabs>
        <w:autoSpaceDE w:val="0"/>
        <w:autoSpaceDN w:val="0"/>
        <w:adjustRightInd w:val="0"/>
        <w:ind w:firstLine="2880"/>
        <w:rPr>
          <w:rFonts w:cs="Arial"/>
          <w:color w:val="000000"/>
          <w:szCs w:val="20"/>
        </w:rPr>
      </w:pPr>
    </w:p>
    <w:p w:rsidR="00C8558D" w:rsidRDefault="006F456F" w:rsidP="00C8558D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- </w:t>
      </w:r>
      <w:proofErr w:type="spellStart"/>
      <w:r w:rsidR="00C8558D">
        <w:rPr>
          <w:rFonts w:cs="Arial"/>
          <w:color w:val="000000"/>
          <w:szCs w:val="20"/>
        </w:rPr>
        <w:t>Codex</w:t>
      </w:r>
      <w:proofErr w:type="spellEnd"/>
      <w:r w:rsidR="00C8558D">
        <w:rPr>
          <w:rFonts w:cs="Arial"/>
          <w:color w:val="000000"/>
          <w:szCs w:val="20"/>
        </w:rPr>
        <w:t xml:space="preserve"> </w:t>
      </w:r>
      <w:proofErr w:type="spellStart"/>
      <w:r w:rsidR="00C8558D">
        <w:rPr>
          <w:rFonts w:cs="Arial"/>
          <w:color w:val="000000"/>
          <w:szCs w:val="20"/>
        </w:rPr>
        <w:t>Alimentarius</w:t>
      </w:r>
      <w:proofErr w:type="spellEnd"/>
      <w:r w:rsidR="00C8558D">
        <w:rPr>
          <w:rFonts w:cs="Arial"/>
          <w:color w:val="000000"/>
          <w:szCs w:val="20"/>
        </w:rPr>
        <w:t xml:space="preserve"> </w:t>
      </w:r>
      <w:r w:rsidR="001F442A">
        <w:rPr>
          <w:rFonts w:cs="Arial"/>
          <w:color w:val="000000"/>
          <w:szCs w:val="20"/>
        </w:rPr>
        <w:t xml:space="preserve">2005 </w:t>
      </w:r>
      <w:proofErr w:type="spellStart"/>
      <w:r w:rsidR="00C8558D">
        <w:rPr>
          <w:rFonts w:cs="Arial"/>
          <w:color w:val="000000"/>
          <w:szCs w:val="20"/>
        </w:rPr>
        <w:t>Fats</w:t>
      </w:r>
      <w:proofErr w:type="spellEnd"/>
      <w:r w:rsidR="00C8558D">
        <w:rPr>
          <w:rFonts w:cs="Arial"/>
          <w:color w:val="000000"/>
          <w:szCs w:val="20"/>
        </w:rPr>
        <w:t xml:space="preserve">, </w:t>
      </w:r>
      <w:proofErr w:type="spellStart"/>
      <w:r w:rsidR="00C8558D">
        <w:rPr>
          <w:rFonts w:cs="Arial"/>
          <w:color w:val="000000"/>
          <w:szCs w:val="20"/>
        </w:rPr>
        <w:t>Oils</w:t>
      </w:r>
      <w:proofErr w:type="spellEnd"/>
      <w:r w:rsidR="00C8558D">
        <w:rPr>
          <w:rFonts w:cs="Arial"/>
          <w:color w:val="000000"/>
          <w:szCs w:val="20"/>
        </w:rPr>
        <w:t xml:space="preserve"> </w:t>
      </w:r>
      <w:proofErr w:type="spellStart"/>
      <w:r w:rsidR="00C8558D">
        <w:rPr>
          <w:rFonts w:cs="Arial"/>
          <w:color w:val="000000"/>
          <w:szCs w:val="20"/>
        </w:rPr>
        <w:t>and</w:t>
      </w:r>
      <w:proofErr w:type="spellEnd"/>
      <w:r w:rsidR="00C8558D">
        <w:rPr>
          <w:rFonts w:cs="Arial"/>
          <w:color w:val="000000"/>
          <w:szCs w:val="20"/>
        </w:rPr>
        <w:t xml:space="preserve"> </w:t>
      </w:r>
      <w:proofErr w:type="spellStart"/>
      <w:r w:rsidR="00C8558D">
        <w:rPr>
          <w:rFonts w:cs="Arial"/>
          <w:color w:val="000000"/>
          <w:szCs w:val="20"/>
        </w:rPr>
        <w:t>Related</w:t>
      </w:r>
      <w:proofErr w:type="spellEnd"/>
      <w:r w:rsidR="00C8558D">
        <w:rPr>
          <w:rFonts w:cs="Arial"/>
          <w:color w:val="000000"/>
          <w:szCs w:val="20"/>
        </w:rPr>
        <w:t xml:space="preserve"> </w:t>
      </w:r>
      <w:proofErr w:type="spellStart"/>
      <w:r w:rsidR="00C8558D">
        <w:rPr>
          <w:rFonts w:cs="Arial"/>
          <w:color w:val="000000"/>
          <w:szCs w:val="20"/>
        </w:rPr>
        <w:t>Products</w:t>
      </w:r>
      <w:proofErr w:type="spellEnd"/>
      <w:r w:rsidR="00C8558D">
        <w:rPr>
          <w:rFonts w:cs="Arial"/>
          <w:color w:val="000000"/>
          <w:szCs w:val="20"/>
        </w:rPr>
        <w:t xml:space="preserve">, </w:t>
      </w:r>
      <w:proofErr w:type="spellStart"/>
      <w:r w:rsidR="00C8558D">
        <w:rPr>
          <w:rFonts w:cs="Arial"/>
          <w:color w:val="000000"/>
          <w:szCs w:val="20"/>
        </w:rPr>
        <w:t>Sec</w:t>
      </w:r>
      <w:proofErr w:type="spellEnd"/>
      <w:r w:rsidR="00C8558D">
        <w:rPr>
          <w:rFonts w:cs="Arial"/>
          <w:color w:val="000000"/>
          <w:szCs w:val="20"/>
        </w:rPr>
        <w:t>. Ed.</w:t>
      </w:r>
    </w:p>
    <w:p w:rsidR="00C8558D" w:rsidRDefault="006F456F" w:rsidP="00C8558D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-</w:t>
      </w:r>
      <w:r w:rsidR="00C8558D">
        <w:rPr>
          <w:rFonts w:cs="Arial"/>
          <w:color w:val="000000"/>
          <w:szCs w:val="20"/>
        </w:rPr>
        <w:t xml:space="preserve"> O. </w:t>
      </w:r>
      <w:proofErr w:type="spellStart"/>
      <w:r w:rsidR="00C8558D">
        <w:rPr>
          <w:rFonts w:cs="Arial"/>
          <w:color w:val="000000"/>
          <w:szCs w:val="20"/>
        </w:rPr>
        <w:t>Brien</w:t>
      </w:r>
      <w:proofErr w:type="spellEnd"/>
      <w:r w:rsidR="00C8558D">
        <w:rPr>
          <w:rFonts w:cs="Arial"/>
          <w:color w:val="000000"/>
          <w:szCs w:val="20"/>
        </w:rPr>
        <w:t xml:space="preserve">, R. D. 1998. </w:t>
      </w:r>
      <w:proofErr w:type="spellStart"/>
      <w:r w:rsidR="00C8558D">
        <w:rPr>
          <w:rFonts w:cs="Arial"/>
          <w:color w:val="000000"/>
          <w:szCs w:val="20"/>
        </w:rPr>
        <w:t>Fats</w:t>
      </w:r>
      <w:proofErr w:type="spellEnd"/>
      <w:r w:rsidR="00C8558D">
        <w:rPr>
          <w:rFonts w:cs="Arial"/>
          <w:color w:val="000000"/>
          <w:szCs w:val="20"/>
        </w:rPr>
        <w:t xml:space="preserve"> </w:t>
      </w:r>
      <w:proofErr w:type="spellStart"/>
      <w:r w:rsidR="00C8558D">
        <w:rPr>
          <w:rFonts w:cs="Arial"/>
          <w:color w:val="000000"/>
          <w:szCs w:val="20"/>
        </w:rPr>
        <w:t>and</w:t>
      </w:r>
      <w:proofErr w:type="spellEnd"/>
      <w:r w:rsidR="00C8558D">
        <w:rPr>
          <w:rFonts w:cs="Arial"/>
          <w:color w:val="000000"/>
          <w:szCs w:val="20"/>
        </w:rPr>
        <w:t xml:space="preserve"> </w:t>
      </w:r>
      <w:proofErr w:type="spellStart"/>
      <w:r w:rsidR="00C8558D">
        <w:rPr>
          <w:rFonts w:cs="Arial"/>
          <w:color w:val="000000"/>
          <w:szCs w:val="20"/>
        </w:rPr>
        <w:t>Oils</w:t>
      </w:r>
      <w:proofErr w:type="spellEnd"/>
      <w:r w:rsidR="00C8558D">
        <w:rPr>
          <w:rFonts w:cs="Arial"/>
          <w:color w:val="000000"/>
          <w:szCs w:val="20"/>
        </w:rPr>
        <w:t xml:space="preserve">, </w:t>
      </w:r>
      <w:proofErr w:type="spellStart"/>
      <w:r w:rsidR="00C8558D">
        <w:rPr>
          <w:rFonts w:cs="Arial"/>
          <w:color w:val="000000"/>
          <w:szCs w:val="20"/>
        </w:rPr>
        <w:t>Technomic</w:t>
      </w:r>
      <w:proofErr w:type="spellEnd"/>
      <w:r w:rsidR="00C8558D">
        <w:rPr>
          <w:rFonts w:cs="Arial"/>
          <w:color w:val="000000"/>
          <w:szCs w:val="20"/>
        </w:rPr>
        <w:t xml:space="preserve">. </w:t>
      </w:r>
      <w:proofErr w:type="spellStart"/>
      <w:r w:rsidR="00C8558D">
        <w:rPr>
          <w:rFonts w:cs="Arial"/>
          <w:color w:val="000000"/>
          <w:szCs w:val="20"/>
        </w:rPr>
        <w:t>Pub</w:t>
      </w:r>
      <w:proofErr w:type="spellEnd"/>
      <w:r w:rsidR="00C8558D">
        <w:rPr>
          <w:rFonts w:cs="Arial"/>
          <w:color w:val="000000"/>
          <w:szCs w:val="20"/>
        </w:rPr>
        <w:t xml:space="preserve">. </w:t>
      </w:r>
      <w:proofErr w:type="spellStart"/>
      <w:r w:rsidR="00C8558D">
        <w:rPr>
          <w:rFonts w:cs="Arial"/>
          <w:color w:val="000000"/>
          <w:szCs w:val="20"/>
        </w:rPr>
        <w:t>Co</w:t>
      </w:r>
      <w:proofErr w:type="spellEnd"/>
      <w:proofErr w:type="gramStart"/>
      <w:r w:rsidR="00C8558D">
        <w:rPr>
          <w:rFonts w:cs="Arial"/>
          <w:color w:val="000000"/>
          <w:szCs w:val="20"/>
        </w:rPr>
        <w:t>.,</w:t>
      </w:r>
      <w:proofErr w:type="gramEnd"/>
      <w:r w:rsidR="00C8558D">
        <w:rPr>
          <w:rFonts w:cs="Arial"/>
          <w:color w:val="000000"/>
          <w:szCs w:val="20"/>
        </w:rPr>
        <w:t xml:space="preserve"> </w:t>
      </w:r>
      <w:proofErr w:type="spellStart"/>
      <w:r w:rsidR="00C8558D">
        <w:rPr>
          <w:rFonts w:cs="Arial"/>
          <w:color w:val="000000"/>
          <w:szCs w:val="20"/>
        </w:rPr>
        <w:t>Barel</w:t>
      </w:r>
      <w:proofErr w:type="spellEnd"/>
      <w:r w:rsidR="00D2074D">
        <w:rPr>
          <w:rFonts w:cs="Arial"/>
          <w:color w:val="000000"/>
          <w:szCs w:val="20"/>
        </w:rPr>
        <w:t>.</w:t>
      </w:r>
    </w:p>
    <w:p w:rsidR="00C8558D" w:rsidRDefault="006F456F" w:rsidP="00C8558D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-</w:t>
      </w:r>
      <w:r w:rsidR="00C8558D">
        <w:rPr>
          <w:rFonts w:cs="Arial"/>
          <w:color w:val="000000"/>
          <w:szCs w:val="20"/>
        </w:rPr>
        <w:t xml:space="preserve"> </w:t>
      </w:r>
      <w:proofErr w:type="spellStart"/>
      <w:r w:rsidR="00C8558D">
        <w:rPr>
          <w:rFonts w:cs="Arial"/>
          <w:color w:val="000000"/>
          <w:szCs w:val="20"/>
        </w:rPr>
        <w:t>Gümüşkesen</w:t>
      </w:r>
      <w:proofErr w:type="spellEnd"/>
      <w:r w:rsidR="00C8558D">
        <w:rPr>
          <w:rFonts w:cs="Arial"/>
          <w:color w:val="000000"/>
          <w:szCs w:val="20"/>
        </w:rPr>
        <w:t>, S. A. 1999. Bitkisel Yağ Teknolojisi, İzmir</w:t>
      </w:r>
      <w:r w:rsidR="00D2074D">
        <w:rPr>
          <w:rFonts w:cs="Arial"/>
          <w:color w:val="000000"/>
          <w:szCs w:val="20"/>
        </w:rPr>
        <w:t>.</w:t>
      </w:r>
    </w:p>
    <w:p w:rsidR="00C8558D" w:rsidRDefault="006F456F" w:rsidP="00C8558D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-</w:t>
      </w:r>
      <w:r w:rsidR="00C8558D">
        <w:rPr>
          <w:rFonts w:cs="Arial"/>
          <w:color w:val="000000"/>
          <w:szCs w:val="20"/>
        </w:rPr>
        <w:t xml:space="preserve"> Kayahan, M. 2004. Yağlı Tohumlardan Ham Yağ Üretim Teknolojisi, Ankara.</w:t>
      </w:r>
    </w:p>
    <w:p w:rsidR="00C8558D" w:rsidRDefault="00A67C8B" w:rsidP="00C8558D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-</w:t>
      </w:r>
      <w:r w:rsidR="0012603F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 xml:space="preserve">ASTM D 3169-89 (2001). Standard </w:t>
      </w:r>
      <w:proofErr w:type="spellStart"/>
      <w:r>
        <w:rPr>
          <w:rFonts w:cs="Arial"/>
          <w:szCs w:val="20"/>
        </w:rPr>
        <w:t>Specification</w:t>
      </w:r>
      <w:proofErr w:type="spellEnd"/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for</w:t>
      </w:r>
      <w:proofErr w:type="spellEnd"/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Refined</w:t>
      </w:r>
      <w:proofErr w:type="spellEnd"/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Sunflower</w:t>
      </w:r>
      <w:proofErr w:type="spellEnd"/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Oil</w:t>
      </w:r>
      <w:proofErr w:type="spellEnd"/>
      <w:r w:rsidR="00D2074D">
        <w:rPr>
          <w:rFonts w:cs="Arial"/>
          <w:color w:val="000000"/>
          <w:szCs w:val="20"/>
        </w:rPr>
        <w:t>.</w:t>
      </w:r>
    </w:p>
    <w:p w:rsidR="00C8558D" w:rsidRDefault="00C8558D" w:rsidP="00C8558D">
      <w:pPr>
        <w:pStyle w:val="DipnotMetni"/>
        <w:jc w:val="center"/>
        <w:rPr>
          <w:rFonts w:cs="Arial"/>
          <w:color w:val="000000"/>
        </w:rPr>
      </w:pPr>
    </w:p>
    <w:sectPr w:rsidR="00C8558D" w:rsidSect="00C8558D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18" w:right="1134" w:bottom="1134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A8D" w:rsidRDefault="00E00A8D">
      <w:r>
        <w:separator/>
      </w:r>
    </w:p>
  </w:endnote>
  <w:endnote w:type="continuationSeparator" w:id="0">
    <w:p w:rsidR="00E00A8D" w:rsidRDefault="00E0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BC7" w:rsidRPr="00133C0C" w:rsidRDefault="007A1BC7" w:rsidP="00133C0C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786D32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BC7" w:rsidRDefault="007A1BC7" w:rsidP="00133C0C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6D32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A8D" w:rsidRDefault="00E00A8D">
      <w:r>
        <w:separator/>
      </w:r>
    </w:p>
  </w:footnote>
  <w:footnote w:type="continuationSeparator" w:id="0">
    <w:p w:rsidR="00E00A8D" w:rsidRDefault="00E00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BC7" w:rsidRDefault="007A1BC7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886/</w:t>
    </w:r>
    <w:proofErr w:type="spellStart"/>
    <w:r>
      <w:rPr>
        <w:rFonts w:cs="Arial"/>
        <w:szCs w:val="20"/>
        <w:lang w:val="de-DE"/>
      </w:rPr>
      <w:t>R</w:t>
    </w:r>
    <w:r w:rsidR="00786D32">
      <w:rPr>
        <w:rFonts w:cs="Arial"/>
        <w:szCs w:val="20"/>
        <w:lang w:val="de-DE"/>
      </w:rPr>
      <w:t>evizyon</w:t>
    </w:r>
    <w:proofErr w:type="spellEnd"/>
  </w:p>
  <w:p w:rsidR="007A1BC7" w:rsidRDefault="007A1BC7" w:rsidP="003604F4">
    <w:pPr>
      <w:pStyle w:val="stbilgi"/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BC7" w:rsidRDefault="007A1BC7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  <w:t xml:space="preserve">TS 886/Revizyon </w:t>
    </w:r>
  </w:p>
  <w:p w:rsidR="007A1BC7" w:rsidRDefault="007A1BC7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BC7" w:rsidRDefault="007A1BC7" w:rsidP="00F50EE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>TS 886/Kasım 2010</w:t>
    </w:r>
  </w:p>
  <w:p w:rsidR="007A1BC7" w:rsidRPr="00FF5AE8" w:rsidRDefault="007A1BC7" w:rsidP="00FF5AE8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BC7" w:rsidRDefault="007A1BC7" w:rsidP="00133C0C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</w:r>
    <w:r w:rsidRPr="00A85714">
      <w:rPr>
        <w:rFonts w:cs="Arial"/>
        <w:szCs w:val="20"/>
        <w:lang w:val="de-DE"/>
      </w:rPr>
      <w:t>TÜRK STANDARDI TASARISI</w:t>
    </w:r>
    <w:r>
      <w:rPr>
        <w:rFonts w:cs="Arial"/>
        <w:szCs w:val="20"/>
        <w:lang w:val="de-DE"/>
      </w:rPr>
      <w:tab/>
    </w:r>
    <w:proofErr w:type="spellStart"/>
    <w:r w:rsidRPr="00A85714">
      <w:rPr>
        <w:rFonts w:cs="Arial"/>
        <w:szCs w:val="20"/>
        <w:lang w:val="de-DE"/>
      </w:rPr>
      <w:t>tst</w:t>
    </w:r>
    <w:proofErr w:type="spellEnd"/>
    <w:r w:rsidRPr="00A85714">
      <w:rPr>
        <w:rFonts w:cs="Arial"/>
        <w:szCs w:val="20"/>
        <w:lang w:val="de-DE"/>
      </w:rPr>
      <w:t xml:space="preserve"> 886/</w:t>
    </w:r>
    <w:proofErr w:type="spellStart"/>
    <w:r w:rsidRPr="00A85714">
      <w:rPr>
        <w:rFonts w:cs="Arial"/>
        <w:szCs w:val="20"/>
        <w:lang w:val="de-DE"/>
      </w:rPr>
      <w:t>Revizyon</w:t>
    </w:r>
    <w:proofErr w:type="spellEnd"/>
  </w:p>
  <w:p w:rsidR="007A1BC7" w:rsidRDefault="007A1BC7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BC7" w:rsidRDefault="007A1BC7" w:rsidP="00F50EE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</w:r>
    <w:r w:rsidRPr="00A85714">
      <w:rPr>
        <w:rFonts w:cs="Arial"/>
        <w:szCs w:val="20"/>
        <w:lang w:val="de-DE"/>
      </w:rPr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886/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7A1BC7" w:rsidRPr="00FF5AE8" w:rsidRDefault="007A1BC7" w:rsidP="00FF5AE8">
    <w:pPr>
      <w:pStyle w:val="stbilgi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BC7" w:rsidRDefault="007A1BC7" w:rsidP="00F50EE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</w:r>
    <w:r w:rsidRPr="00A85714">
      <w:rPr>
        <w:rFonts w:cs="Arial"/>
        <w:szCs w:val="20"/>
        <w:lang w:val="de-DE"/>
      </w:rPr>
      <w:t>TÜRK STANDARDI TASARISI</w:t>
    </w:r>
    <w:r>
      <w:rPr>
        <w:rFonts w:cs="Arial"/>
        <w:szCs w:val="20"/>
        <w:lang w:val="de-DE"/>
      </w:rPr>
      <w:tab/>
    </w:r>
    <w:proofErr w:type="spellStart"/>
    <w:r w:rsidRPr="00A85714">
      <w:rPr>
        <w:rFonts w:cs="Arial"/>
        <w:szCs w:val="20"/>
        <w:lang w:val="de-DE"/>
      </w:rPr>
      <w:t>tst</w:t>
    </w:r>
    <w:proofErr w:type="spellEnd"/>
    <w:r w:rsidRPr="00A85714">
      <w:rPr>
        <w:rFonts w:cs="Arial"/>
        <w:szCs w:val="20"/>
        <w:lang w:val="de-DE"/>
      </w:rPr>
      <w:t xml:space="preserve"> 886/</w:t>
    </w:r>
    <w:proofErr w:type="spellStart"/>
    <w:r w:rsidRPr="00A85714">
      <w:rPr>
        <w:rFonts w:cs="Arial"/>
        <w:szCs w:val="20"/>
        <w:lang w:val="de-DE"/>
      </w:rPr>
      <w:t>Revizyon</w:t>
    </w:r>
    <w:proofErr w:type="spellEnd"/>
  </w:p>
  <w:p w:rsidR="007A1BC7" w:rsidRDefault="007A1BC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4233A4"/>
    <w:multiLevelType w:val="hybridMultilevel"/>
    <w:tmpl w:val="BA76EEB0"/>
    <w:lvl w:ilvl="0" w:tplc="23EC9D3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A50C5"/>
    <w:multiLevelType w:val="hybridMultilevel"/>
    <w:tmpl w:val="C6B0D9B2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E15E13"/>
    <w:multiLevelType w:val="multilevel"/>
    <w:tmpl w:val="8D3CA23C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C033B5"/>
    <w:multiLevelType w:val="singleLevel"/>
    <w:tmpl w:val="0C348A48"/>
    <w:lvl w:ilvl="0">
      <w:start w:val="5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7">
    <w:nsid w:val="297B038F"/>
    <w:multiLevelType w:val="hybridMultilevel"/>
    <w:tmpl w:val="67A80B36"/>
    <w:lvl w:ilvl="0" w:tplc="5A48E2AC">
      <w:start w:val="17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4F84AAA"/>
    <w:multiLevelType w:val="hybridMultilevel"/>
    <w:tmpl w:val="03C041A0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A57338"/>
    <w:multiLevelType w:val="hybridMultilevel"/>
    <w:tmpl w:val="D834F6D8"/>
    <w:lvl w:ilvl="0" w:tplc="6F00E6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B74575"/>
    <w:multiLevelType w:val="multilevel"/>
    <w:tmpl w:val="B9C8A81E"/>
    <w:lvl w:ilvl="0"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01D4C98"/>
    <w:multiLevelType w:val="multilevel"/>
    <w:tmpl w:val="2FD20FC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3F06D8"/>
    <w:multiLevelType w:val="singleLevel"/>
    <w:tmpl w:val="377E4A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4B46C0A"/>
    <w:multiLevelType w:val="multilevel"/>
    <w:tmpl w:val="3B44E8B4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Arial" w:hint="default"/>
        <w:b w:val="0"/>
        <w:color w:val="000000"/>
        <w:sz w:val="20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Arial" w:hint="default"/>
        <w:b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  <w:b w:val="0"/>
        <w:color w:val="00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  <w:b w:val="0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 w:val="0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  <w:b w:val="0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 w:val="0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  <w:b w:val="0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  <w:b w:val="0"/>
        <w:color w:val="000000"/>
        <w:sz w:val="20"/>
      </w:rPr>
    </w:lvl>
  </w:abstractNum>
  <w:abstractNum w:abstractNumId="15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6A361C"/>
    <w:multiLevelType w:val="multilevel"/>
    <w:tmpl w:val="0D3C17B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AB76D84"/>
    <w:multiLevelType w:val="hybridMultilevel"/>
    <w:tmpl w:val="9D4C0CDC"/>
    <w:lvl w:ilvl="0" w:tplc="6B9EE3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B5162F"/>
    <w:multiLevelType w:val="hybridMultilevel"/>
    <w:tmpl w:val="92FEAC44"/>
    <w:lvl w:ilvl="0" w:tplc="86C836B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E51D92"/>
    <w:multiLevelType w:val="hybridMultilevel"/>
    <w:tmpl w:val="EA0216B0"/>
    <w:lvl w:ilvl="0" w:tplc="E0104EB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B23CF4"/>
    <w:multiLevelType w:val="hybridMultilevel"/>
    <w:tmpl w:val="4BAC6410"/>
    <w:lvl w:ilvl="0" w:tplc="0E2ABE0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4F7F70"/>
    <w:multiLevelType w:val="hybridMultilevel"/>
    <w:tmpl w:val="7430DDF2"/>
    <w:lvl w:ilvl="0" w:tplc="DA988244">
      <w:start w:val="2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2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E22AB5"/>
    <w:multiLevelType w:val="hybridMultilevel"/>
    <w:tmpl w:val="2FD20FC8"/>
    <w:lvl w:ilvl="0" w:tplc="41640BD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6C52E7"/>
    <w:multiLevelType w:val="hybridMultilevel"/>
    <w:tmpl w:val="3BCC736E"/>
    <w:lvl w:ilvl="0" w:tplc="46E41E6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556B4A"/>
    <w:multiLevelType w:val="multilevel"/>
    <w:tmpl w:val="6E46CC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2"/>
  </w:num>
  <w:num w:numId="4">
    <w:abstractNumId w:val="23"/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25"/>
  </w:num>
  <w:num w:numId="8">
    <w:abstractNumId w:val="21"/>
  </w:num>
  <w:num w:numId="9">
    <w:abstractNumId w:val="24"/>
  </w:num>
  <w:num w:numId="10">
    <w:abstractNumId w:val="16"/>
  </w:num>
  <w:num w:numId="11">
    <w:abstractNumId w:val="12"/>
  </w:num>
  <w:num w:numId="12">
    <w:abstractNumId w:val="5"/>
    <w:lvlOverride w:ilvl="0"/>
  </w:num>
  <w:num w:numId="1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13"/>
  </w:num>
  <w:num w:numId="16">
    <w:abstractNumId w:val="18"/>
  </w:num>
  <w:num w:numId="17">
    <w:abstractNumId w:val="9"/>
  </w:num>
  <w:num w:numId="18">
    <w:abstractNumId w:val="9"/>
  </w:num>
  <w:num w:numId="19">
    <w:abstractNumId w:val="2"/>
  </w:num>
  <w:num w:numId="20">
    <w:abstractNumId w:val="14"/>
  </w:num>
  <w:num w:numId="21">
    <w:abstractNumId w:val="15"/>
  </w:num>
  <w:num w:numId="22">
    <w:abstractNumId w:val="17"/>
  </w:num>
  <w:num w:numId="23">
    <w:abstractNumId w:val="4"/>
  </w:num>
  <w:num w:numId="24">
    <w:abstractNumId w:val="20"/>
  </w:num>
  <w:num w:numId="25">
    <w:abstractNumId w:val="26"/>
  </w:num>
  <w:num w:numId="26">
    <w:abstractNumId w:val="10"/>
  </w:num>
  <w:num w:numId="27">
    <w:abstractNumId w:val="3"/>
  </w:num>
  <w:num w:numId="28">
    <w:abstractNumId w:val="19"/>
  </w:num>
  <w:num w:numId="29">
    <w:abstractNumId w:val="1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u31CnnqAo7nR3UwVP8AXQmENSr6XIRPoYIzHUe7FwZWg3JoktvT07qmLcYpbQe4+y5/D4+4jsN00XggER4Hw0Q==" w:salt="sp4K9Puk2h6hEf65xf0BwQ==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1866"/>
    <w:rsid w:val="0000292A"/>
    <w:rsid w:val="000069EF"/>
    <w:rsid w:val="0001046D"/>
    <w:rsid w:val="000207BF"/>
    <w:rsid w:val="00021A20"/>
    <w:rsid w:val="0004008D"/>
    <w:rsid w:val="00054928"/>
    <w:rsid w:val="00086DDA"/>
    <w:rsid w:val="00092229"/>
    <w:rsid w:val="0009787A"/>
    <w:rsid w:val="000A0311"/>
    <w:rsid w:val="000A390B"/>
    <w:rsid w:val="000A3F37"/>
    <w:rsid w:val="000B6BFF"/>
    <w:rsid w:val="000D0E75"/>
    <w:rsid w:val="000D6C66"/>
    <w:rsid w:val="000E1988"/>
    <w:rsid w:val="000E49B4"/>
    <w:rsid w:val="000E670C"/>
    <w:rsid w:val="000E77D9"/>
    <w:rsid w:val="000F0142"/>
    <w:rsid w:val="000F6D45"/>
    <w:rsid w:val="0011634B"/>
    <w:rsid w:val="0012603F"/>
    <w:rsid w:val="00133C0C"/>
    <w:rsid w:val="00143691"/>
    <w:rsid w:val="001468A6"/>
    <w:rsid w:val="001512C5"/>
    <w:rsid w:val="001533D4"/>
    <w:rsid w:val="0015407B"/>
    <w:rsid w:val="00170D08"/>
    <w:rsid w:val="0018083F"/>
    <w:rsid w:val="00185034"/>
    <w:rsid w:val="001A02E9"/>
    <w:rsid w:val="001A0C3E"/>
    <w:rsid w:val="001A2100"/>
    <w:rsid w:val="001B5AFA"/>
    <w:rsid w:val="001B64F4"/>
    <w:rsid w:val="001B6676"/>
    <w:rsid w:val="001C2C2E"/>
    <w:rsid w:val="001C58E4"/>
    <w:rsid w:val="001C6B21"/>
    <w:rsid w:val="001C76BD"/>
    <w:rsid w:val="001D7F04"/>
    <w:rsid w:val="001E28B1"/>
    <w:rsid w:val="001E7EB3"/>
    <w:rsid w:val="001F442A"/>
    <w:rsid w:val="00215B91"/>
    <w:rsid w:val="00223729"/>
    <w:rsid w:val="00235087"/>
    <w:rsid w:val="00246E50"/>
    <w:rsid w:val="00253CFF"/>
    <w:rsid w:val="002676AB"/>
    <w:rsid w:val="00274455"/>
    <w:rsid w:val="00276A1D"/>
    <w:rsid w:val="00284712"/>
    <w:rsid w:val="002920B7"/>
    <w:rsid w:val="00296FBB"/>
    <w:rsid w:val="00297038"/>
    <w:rsid w:val="002B3F0A"/>
    <w:rsid w:val="002B5B34"/>
    <w:rsid w:val="002B717B"/>
    <w:rsid w:val="002C1069"/>
    <w:rsid w:val="002C3BEF"/>
    <w:rsid w:val="002C7815"/>
    <w:rsid w:val="002E389A"/>
    <w:rsid w:val="002E4578"/>
    <w:rsid w:val="002E759B"/>
    <w:rsid w:val="002F437D"/>
    <w:rsid w:val="002F618D"/>
    <w:rsid w:val="002F707C"/>
    <w:rsid w:val="00300082"/>
    <w:rsid w:val="003014E0"/>
    <w:rsid w:val="00307110"/>
    <w:rsid w:val="00307924"/>
    <w:rsid w:val="00311010"/>
    <w:rsid w:val="00326276"/>
    <w:rsid w:val="003312F4"/>
    <w:rsid w:val="003370ED"/>
    <w:rsid w:val="00354210"/>
    <w:rsid w:val="003560BA"/>
    <w:rsid w:val="003604F4"/>
    <w:rsid w:val="0036708D"/>
    <w:rsid w:val="0037461B"/>
    <w:rsid w:val="00376289"/>
    <w:rsid w:val="00384577"/>
    <w:rsid w:val="003908FB"/>
    <w:rsid w:val="003A097B"/>
    <w:rsid w:val="003B2282"/>
    <w:rsid w:val="003B5861"/>
    <w:rsid w:val="003C560F"/>
    <w:rsid w:val="003C5632"/>
    <w:rsid w:val="003D49CE"/>
    <w:rsid w:val="003D6EAE"/>
    <w:rsid w:val="003E0764"/>
    <w:rsid w:val="003E3291"/>
    <w:rsid w:val="003E32D2"/>
    <w:rsid w:val="003E4F7B"/>
    <w:rsid w:val="003F35EC"/>
    <w:rsid w:val="003F387C"/>
    <w:rsid w:val="00411CE2"/>
    <w:rsid w:val="00416319"/>
    <w:rsid w:val="00425479"/>
    <w:rsid w:val="00430604"/>
    <w:rsid w:val="00431502"/>
    <w:rsid w:val="00433AA2"/>
    <w:rsid w:val="0044681A"/>
    <w:rsid w:val="00450B3D"/>
    <w:rsid w:val="004607D8"/>
    <w:rsid w:val="00461095"/>
    <w:rsid w:val="00470FF2"/>
    <w:rsid w:val="00472B0E"/>
    <w:rsid w:val="00475AB0"/>
    <w:rsid w:val="00495F71"/>
    <w:rsid w:val="00497E67"/>
    <w:rsid w:val="004A06E2"/>
    <w:rsid w:val="004A5014"/>
    <w:rsid w:val="004A7448"/>
    <w:rsid w:val="004B44FF"/>
    <w:rsid w:val="004B4EAD"/>
    <w:rsid w:val="004E0682"/>
    <w:rsid w:val="004E675C"/>
    <w:rsid w:val="004F0D80"/>
    <w:rsid w:val="004F3F0A"/>
    <w:rsid w:val="004F4747"/>
    <w:rsid w:val="00505B3A"/>
    <w:rsid w:val="00510869"/>
    <w:rsid w:val="0051121D"/>
    <w:rsid w:val="005208E3"/>
    <w:rsid w:val="00531C76"/>
    <w:rsid w:val="005503B3"/>
    <w:rsid w:val="00550D2F"/>
    <w:rsid w:val="00555F7C"/>
    <w:rsid w:val="005569A9"/>
    <w:rsid w:val="00560055"/>
    <w:rsid w:val="00564C09"/>
    <w:rsid w:val="00566D88"/>
    <w:rsid w:val="00575032"/>
    <w:rsid w:val="005770EC"/>
    <w:rsid w:val="00586ED9"/>
    <w:rsid w:val="00592853"/>
    <w:rsid w:val="005A0226"/>
    <w:rsid w:val="005B1FDE"/>
    <w:rsid w:val="005B3A12"/>
    <w:rsid w:val="005C01EC"/>
    <w:rsid w:val="005C4ABE"/>
    <w:rsid w:val="005D1884"/>
    <w:rsid w:val="005E241F"/>
    <w:rsid w:val="005E7B48"/>
    <w:rsid w:val="005F4DFC"/>
    <w:rsid w:val="00610EE3"/>
    <w:rsid w:val="006122F3"/>
    <w:rsid w:val="00616B24"/>
    <w:rsid w:val="006236CB"/>
    <w:rsid w:val="006310B2"/>
    <w:rsid w:val="00633881"/>
    <w:rsid w:val="00637D46"/>
    <w:rsid w:val="00637F19"/>
    <w:rsid w:val="006412DD"/>
    <w:rsid w:val="00642EC6"/>
    <w:rsid w:val="00645CA4"/>
    <w:rsid w:val="00652EBC"/>
    <w:rsid w:val="0066757B"/>
    <w:rsid w:val="006841A4"/>
    <w:rsid w:val="006856E1"/>
    <w:rsid w:val="006972CB"/>
    <w:rsid w:val="006A216A"/>
    <w:rsid w:val="006A3785"/>
    <w:rsid w:val="006C4097"/>
    <w:rsid w:val="006C7AA9"/>
    <w:rsid w:val="006D254D"/>
    <w:rsid w:val="006D567A"/>
    <w:rsid w:val="006E3C2D"/>
    <w:rsid w:val="006F0604"/>
    <w:rsid w:val="006F122F"/>
    <w:rsid w:val="006F4437"/>
    <w:rsid w:val="006F456F"/>
    <w:rsid w:val="006F6298"/>
    <w:rsid w:val="00705319"/>
    <w:rsid w:val="0071105D"/>
    <w:rsid w:val="00720236"/>
    <w:rsid w:val="00726D46"/>
    <w:rsid w:val="0072730E"/>
    <w:rsid w:val="007339CF"/>
    <w:rsid w:val="00737992"/>
    <w:rsid w:val="007416DA"/>
    <w:rsid w:val="00764EED"/>
    <w:rsid w:val="00765D14"/>
    <w:rsid w:val="007662E3"/>
    <w:rsid w:val="0077037F"/>
    <w:rsid w:val="007808F3"/>
    <w:rsid w:val="007862A3"/>
    <w:rsid w:val="00786D32"/>
    <w:rsid w:val="007A0E0A"/>
    <w:rsid w:val="007A1BC7"/>
    <w:rsid w:val="007A1C85"/>
    <w:rsid w:val="007A20E6"/>
    <w:rsid w:val="007A3873"/>
    <w:rsid w:val="007A49D3"/>
    <w:rsid w:val="007C1554"/>
    <w:rsid w:val="007E2515"/>
    <w:rsid w:val="007E2AA4"/>
    <w:rsid w:val="007E7B50"/>
    <w:rsid w:val="007F1CB2"/>
    <w:rsid w:val="007F4FC5"/>
    <w:rsid w:val="0080420A"/>
    <w:rsid w:val="00806D14"/>
    <w:rsid w:val="0082037E"/>
    <w:rsid w:val="00821D33"/>
    <w:rsid w:val="008300AD"/>
    <w:rsid w:val="008322C6"/>
    <w:rsid w:val="0084269C"/>
    <w:rsid w:val="00842BFB"/>
    <w:rsid w:val="00845B6D"/>
    <w:rsid w:val="00850DA2"/>
    <w:rsid w:val="00854922"/>
    <w:rsid w:val="00864B8D"/>
    <w:rsid w:val="00873BB1"/>
    <w:rsid w:val="008814F0"/>
    <w:rsid w:val="00881AD8"/>
    <w:rsid w:val="00886268"/>
    <w:rsid w:val="00891B8E"/>
    <w:rsid w:val="008932FF"/>
    <w:rsid w:val="00893889"/>
    <w:rsid w:val="00897082"/>
    <w:rsid w:val="008A0631"/>
    <w:rsid w:val="008A444C"/>
    <w:rsid w:val="008A4D85"/>
    <w:rsid w:val="008B7A97"/>
    <w:rsid w:val="008C05C9"/>
    <w:rsid w:val="008C798A"/>
    <w:rsid w:val="008E09C1"/>
    <w:rsid w:val="008E5D0B"/>
    <w:rsid w:val="008F14C5"/>
    <w:rsid w:val="009007DA"/>
    <w:rsid w:val="00912EA2"/>
    <w:rsid w:val="00914A1E"/>
    <w:rsid w:val="009165AA"/>
    <w:rsid w:val="009176EA"/>
    <w:rsid w:val="00925DA1"/>
    <w:rsid w:val="00930DDA"/>
    <w:rsid w:val="009468EB"/>
    <w:rsid w:val="0095284A"/>
    <w:rsid w:val="00964D39"/>
    <w:rsid w:val="00967F0A"/>
    <w:rsid w:val="00987592"/>
    <w:rsid w:val="00997420"/>
    <w:rsid w:val="009A24B6"/>
    <w:rsid w:val="009A31E4"/>
    <w:rsid w:val="009A488A"/>
    <w:rsid w:val="009A70F1"/>
    <w:rsid w:val="009B0A20"/>
    <w:rsid w:val="009B68A2"/>
    <w:rsid w:val="009B7AF5"/>
    <w:rsid w:val="009C2FF7"/>
    <w:rsid w:val="009C7E2B"/>
    <w:rsid w:val="009E6E89"/>
    <w:rsid w:val="009F0555"/>
    <w:rsid w:val="009F5CC1"/>
    <w:rsid w:val="009F601D"/>
    <w:rsid w:val="00A07EF6"/>
    <w:rsid w:val="00A11355"/>
    <w:rsid w:val="00A20605"/>
    <w:rsid w:val="00A243D1"/>
    <w:rsid w:val="00A263E2"/>
    <w:rsid w:val="00A314E4"/>
    <w:rsid w:val="00A36C99"/>
    <w:rsid w:val="00A4064C"/>
    <w:rsid w:val="00A42D32"/>
    <w:rsid w:val="00A5530E"/>
    <w:rsid w:val="00A67C8B"/>
    <w:rsid w:val="00A7036D"/>
    <w:rsid w:val="00A75E46"/>
    <w:rsid w:val="00A779D6"/>
    <w:rsid w:val="00A85714"/>
    <w:rsid w:val="00AA5F6F"/>
    <w:rsid w:val="00AB4543"/>
    <w:rsid w:val="00AB5B87"/>
    <w:rsid w:val="00AB726E"/>
    <w:rsid w:val="00AC3728"/>
    <w:rsid w:val="00AC4DF4"/>
    <w:rsid w:val="00AD23DA"/>
    <w:rsid w:val="00AD2AAE"/>
    <w:rsid w:val="00AD7D12"/>
    <w:rsid w:val="00AD7DD9"/>
    <w:rsid w:val="00AF73FE"/>
    <w:rsid w:val="00B03529"/>
    <w:rsid w:val="00B05A7B"/>
    <w:rsid w:val="00B12966"/>
    <w:rsid w:val="00B1494F"/>
    <w:rsid w:val="00B27F85"/>
    <w:rsid w:val="00B338A7"/>
    <w:rsid w:val="00B415FF"/>
    <w:rsid w:val="00B55B4B"/>
    <w:rsid w:val="00B64E55"/>
    <w:rsid w:val="00B65EF1"/>
    <w:rsid w:val="00B778B5"/>
    <w:rsid w:val="00B82436"/>
    <w:rsid w:val="00B86ABA"/>
    <w:rsid w:val="00B93E5D"/>
    <w:rsid w:val="00B94E9A"/>
    <w:rsid w:val="00BA647E"/>
    <w:rsid w:val="00BB7C39"/>
    <w:rsid w:val="00BC65B8"/>
    <w:rsid w:val="00BD02AE"/>
    <w:rsid w:val="00BE2573"/>
    <w:rsid w:val="00BE6209"/>
    <w:rsid w:val="00BF66CC"/>
    <w:rsid w:val="00BF6E1B"/>
    <w:rsid w:val="00BF7BC7"/>
    <w:rsid w:val="00C06283"/>
    <w:rsid w:val="00C078F3"/>
    <w:rsid w:val="00C16EF4"/>
    <w:rsid w:val="00C20E22"/>
    <w:rsid w:val="00C235BA"/>
    <w:rsid w:val="00C35CEC"/>
    <w:rsid w:val="00C37C66"/>
    <w:rsid w:val="00C406BC"/>
    <w:rsid w:val="00C40860"/>
    <w:rsid w:val="00C4363F"/>
    <w:rsid w:val="00C70674"/>
    <w:rsid w:val="00C731F3"/>
    <w:rsid w:val="00C75BEC"/>
    <w:rsid w:val="00C8558D"/>
    <w:rsid w:val="00C95B88"/>
    <w:rsid w:val="00C97460"/>
    <w:rsid w:val="00CA25B1"/>
    <w:rsid w:val="00CA5258"/>
    <w:rsid w:val="00CA5A92"/>
    <w:rsid w:val="00CB66A3"/>
    <w:rsid w:val="00CD34CE"/>
    <w:rsid w:val="00CD3E20"/>
    <w:rsid w:val="00CD5749"/>
    <w:rsid w:val="00CE2F4F"/>
    <w:rsid w:val="00CF032B"/>
    <w:rsid w:val="00D04557"/>
    <w:rsid w:val="00D10E68"/>
    <w:rsid w:val="00D11FF7"/>
    <w:rsid w:val="00D12C00"/>
    <w:rsid w:val="00D2074D"/>
    <w:rsid w:val="00D233E5"/>
    <w:rsid w:val="00D36BCB"/>
    <w:rsid w:val="00D40F0F"/>
    <w:rsid w:val="00D52B16"/>
    <w:rsid w:val="00D660D3"/>
    <w:rsid w:val="00D67DBA"/>
    <w:rsid w:val="00D707F8"/>
    <w:rsid w:val="00D80713"/>
    <w:rsid w:val="00D915EF"/>
    <w:rsid w:val="00D934A0"/>
    <w:rsid w:val="00D94747"/>
    <w:rsid w:val="00DA00E5"/>
    <w:rsid w:val="00DA09BC"/>
    <w:rsid w:val="00DA62DD"/>
    <w:rsid w:val="00DB4DD3"/>
    <w:rsid w:val="00DC4BD7"/>
    <w:rsid w:val="00DC67BD"/>
    <w:rsid w:val="00DF038F"/>
    <w:rsid w:val="00DF1688"/>
    <w:rsid w:val="00DF24D7"/>
    <w:rsid w:val="00E00A8D"/>
    <w:rsid w:val="00E06D2A"/>
    <w:rsid w:val="00E11837"/>
    <w:rsid w:val="00E12424"/>
    <w:rsid w:val="00E3033A"/>
    <w:rsid w:val="00E32179"/>
    <w:rsid w:val="00E32343"/>
    <w:rsid w:val="00E33C34"/>
    <w:rsid w:val="00E42B01"/>
    <w:rsid w:val="00E46980"/>
    <w:rsid w:val="00E52D76"/>
    <w:rsid w:val="00E64C31"/>
    <w:rsid w:val="00E733CB"/>
    <w:rsid w:val="00E7529B"/>
    <w:rsid w:val="00E76BF7"/>
    <w:rsid w:val="00E923AA"/>
    <w:rsid w:val="00E93BF4"/>
    <w:rsid w:val="00EB4AD6"/>
    <w:rsid w:val="00EC603F"/>
    <w:rsid w:val="00ED61DA"/>
    <w:rsid w:val="00EE0344"/>
    <w:rsid w:val="00EE2006"/>
    <w:rsid w:val="00EF3CDA"/>
    <w:rsid w:val="00EF43C9"/>
    <w:rsid w:val="00F04400"/>
    <w:rsid w:val="00F07753"/>
    <w:rsid w:val="00F15420"/>
    <w:rsid w:val="00F27375"/>
    <w:rsid w:val="00F33C59"/>
    <w:rsid w:val="00F3680D"/>
    <w:rsid w:val="00F377BC"/>
    <w:rsid w:val="00F50EE8"/>
    <w:rsid w:val="00F55F47"/>
    <w:rsid w:val="00F61F02"/>
    <w:rsid w:val="00F7285D"/>
    <w:rsid w:val="00F75051"/>
    <w:rsid w:val="00F83FD1"/>
    <w:rsid w:val="00F877FF"/>
    <w:rsid w:val="00FB5C0B"/>
    <w:rsid w:val="00FC58FF"/>
    <w:rsid w:val="00FC68C9"/>
    <w:rsid w:val="00FE65C1"/>
    <w:rsid w:val="00FF109E"/>
    <w:rsid w:val="00FF2101"/>
    <w:rsid w:val="00FF4DC4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54F7FAC-1A51-4214-AFE1-D3E480C7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3AA"/>
    <w:pPr>
      <w:jc w:val="both"/>
    </w:pPr>
    <w:rPr>
      <w:rFonts w:ascii="Arial" w:hAnsi="Arial"/>
      <w:szCs w:val="24"/>
    </w:rPr>
  </w:style>
  <w:style w:type="paragraph" w:styleId="Balk1">
    <w:name w:val="heading 1"/>
    <w:basedOn w:val="Normal"/>
    <w:next w:val="Normal"/>
    <w:qFormat/>
    <w:rsid w:val="00411CE2"/>
    <w:pPr>
      <w:keepNext/>
      <w:tabs>
        <w:tab w:val="left" w:pos="567"/>
      </w:tabs>
      <w:outlineLvl w:val="0"/>
    </w:pPr>
    <w:rPr>
      <w:rFonts w:cs="Arial"/>
      <w:b/>
      <w:bCs/>
      <w:noProof/>
      <w:kern w:val="28"/>
      <w:sz w:val="28"/>
      <w:szCs w:val="28"/>
      <w:lang w:val="en-AU"/>
    </w:rPr>
  </w:style>
  <w:style w:type="paragraph" w:styleId="Balk2">
    <w:name w:val="heading 2"/>
    <w:aliases w:val="Başlık 2 Char"/>
    <w:basedOn w:val="Normal"/>
    <w:next w:val="Normal"/>
    <w:qFormat/>
    <w:rsid w:val="00411CE2"/>
    <w:pPr>
      <w:keepNext/>
      <w:tabs>
        <w:tab w:val="left" w:pos="567"/>
      </w:tabs>
      <w:outlineLvl w:val="1"/>
    </w:pPr>
    <w:rPr>
      <w:b/>
      <w:noProof/>
      <w:snapToGrid w:val="0"/>
      <w:sz w:val="24"/>
      <w:lang w:val="en-US" w:eastAsia="en-US"/>
    </w:rPr>
  </w:style>
  <w:style w:type="paragraph" w:styleId="Balk3">
    <w:name w:val="heading 3"/>
    <w:basedOn w:val="Normal"/>
    <w:next w:val="Normal"/>
    <w:qFormat/>
    <w:rsid w:val="00B415FF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C8558D"/>
    <w:pPr>
      <w:keepNext/>
      <w:outlineLvl w:val="3"/>
    </w:pPr>
    <w:rPr>
      <w:b/>
      <w:sz w:val="22"/>
      <w:szCs w:val="20"/>
    </w:rPr>
  </w:style>
  <w:style w:type="paragraph" w:styleId="Balk6">
    <w:name w:val="heading 6"/>
    <w:basedOn w:val="Normal"/>
    <w:next w:val="Normal"/>
    <w:qFormat/>
    <w:rsid w:val="00C8558D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3B228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C8558D"/>
    <w:pPr>
      <w:keepNext/>
      <w:jc w:val="center"/>
      <w:outlineLvl w:val="7"/>
    </w:pPr>
    <w:rPr>
      <w:rFonts w:cs="Arial"/>
      <w:b/>
      <w:color w:val="000000"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T1">
    <w:name w:val="toc 1"/>
    <w:basedOn w:val="Normal"/>
    <w:next w:val="Normal"/>
    <w:semiHidden/>
    <w:rsid w:val="00D04557"/>
    <w:pPr>
      <w:tabs>
        <w:tab w:val="right" w:leader="dot" w:pos="9628"/>
      </w:tabs>
    </w:pPr>
    <w:rPr>
      <w:rFonts w:cs="Arial"/>
      <w:b/>
      <w:bCs/>
      <w:szCs w:val="28"/>
      <w:lang w:val="en-AU"/>
    </w:rPr>
  </w:style>
  <w:style w:type="paragraph" w:styleId="T2">
    <w:name w:val="toc 2"/>
    <w:basedOn w:val="Normal"/>
    <w:next w:val="Normal"/>
    <w:semiHidden/>
    <w:rsid w:val="00D04557"/>
    <w:pPr>
      <w:tabs>
        <w:tab w:val="right" w:leader="dot" w:pos="9628"/>
      </w:tabs>
      <w:ind w:left="198"/>
    </w:pPr>
    <w:rPr>
      <w:szCs w:val="20"/>
      <w:lang w:val="en-AU"/>
    </w:rPr>
  </w:style>
  <w:style w:type="paragraph" w:styleId="T3">
    <w:name w:val="toc 3"/>
    <w:basedOn w:val="Normal"/>
    <w:next w:val="Normal"/>
    <w:semiHidden/>
    <w:rsid w:val="002B3F0A"/>
    <w:pPr>
      <w:tabs>
        <w:tab w:val="right" w:leader="dot" w:pos="567"/>
        <w:tab w:val="right" w:leader="dot" w:pos="9628"/>
      </w:tabs>
      <w:ind w:left="403"/>
    </w:pPr>
    <w:rPr>
      <w:rFonts w:eastAsia="SimSun" w:cs="Arial"/>
      <w:bCs/>
      <w:snapToGrid w:val="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link w:val="AltbilgiChar"/>
    <w:uiPriority w:val="99"/>
    <w:rsid w:val="006D567A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rsid w:val="00881AD8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720236"/>
    <w:rPr>
      <w:rFonts w:ascii="Times New Roman" w:hAnsi="Times New Roman"/>
      <w:sz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  <w:szCs w:val="20"/>
    </w:rPr>
  </w:style>
  <w:style w:type="paragraph" w:customStyle="1" w:styleId="Style2">
    <w:name w:val="Style2"/>
    <w:basedOn w:val="Normal"/>
    <w:rsid w:val="005E7B48"/>
  </w:style>
  <w:style w:type="paragraph" w:customStyle="1" w:styleId="StyleJustified">
    <w:name w:val="Style Justified"/>
    <w:basedOn w:val="Normal"/>
    <w:rsid w:val="000E1988"/>
  </w:style>
  <w:style w:type="paragraph" w:customStyle="1" w:styleId="StyleHeading1">
    <w:name w:val="Style Heading 1 +"/>
    <w:basedOn w:val="Balk1"/>
    <w:rsid w:val="00D660D3"/>
    <w:rPr>
      <w:kern w:val="0"/>
    </w:rPr>
  </w:style>
  <w:style w:type="paragraph" w:customStyle="1" w:styleId="StyleHeading1Centered">
    <w:name w:val="Style Heading 1 + Centered"/>
    <w:basedOn w:val="Balk1"/>
    <w:rsid w:val="00E11837"/>
    <w:pPr>
      <w:jc w:val="center"/>
    </w:pPr>
    <w:rPr>
      <w:rFonts w:cs="Times New Roman"/>
      <w:szCs w:val="20"/>
    </w:rPr>
  </w:style>
  <w:style w:type="paragraph" w:customStyle="1" w:styleId="StyleHeading1Centered1">
    <w:name w:val="Style Heading 1 + Centered1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2">
    <w:name w:val="Style Heading 1 + Centered2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3">
    <w:name w:val="Style Heading 1 + Centered3"/>
    <w:basedOn w:val="Balk1"/>
    <w:rsid w:val="00881AD8"/>
    <w:pPr>
      <w:jc w:val="center"/>
    </w:pPr>
    <w:rPr>
      <w:rFonts w:cs="Times New Roman"/>
      <w:szCs w:val="20"/>
    </w:rPr>
  </w:style>
  <w:style w:type="paragraph" w:customStyle="1" w:styleId="StyleHeading2Italic">
    <w:name w:val="Style Heading 2 + Italic"/>
    <w:basedOn w:val="Balk2"/>
    <w:rsid w:val="00B415FF"/>
    <w:rPr>
      <w:bCs/>
      <w:iCs/>
      <w:lang w:val="en-AU"/>
    </w:rPr>
  </w:style>
  <w:style w:type="paragraph" w:customStyle="1" w:styleId="StyleJustified1">
    <w:name w:val="Style Justified1"/>
    <w:basedOn w:val="Normal"/>
    <w:rsid w:val="000E49B4"/>
  </w:style>
  <w:style w:type="paragraph" w:customStyle="1" w:styleId="StyleBodyTextBefore6pt">
    <w:name w:val="Style Body Text + Before:  6 pt"/>
    <w:basedOn w:val="GvdeMetni"/>
    <w:rsid w:val="00610EE3"/>
    <w:pPr>
      <w:spacing w:after="0"/>
    </w:pPr>
    <w:rPr>
      <w:szCs w:val="20"/>
    </w:rPr>
  </w:style>
  <w:style w:type="paragraph" w:styleId="GvdeMetni">
    <w:name w:val="Body Text"/>
    <w:basedOn w:val="Normal"/>
    <w:rsid w:val="00610EE3"/>
    <w:pPr>
      <w:spacing w:after="120"/>
    </w:pPr>
  </w:style>
  <w:style w:type="paragraph" w:customStyle="1" w:styleId="StyleHeading2TimesNewRomanItalic">
    <w:name w:val="Style Heading 2 + Times New Roman Italic"/>
    <w:basedOn w:val="Balk2"/>
    <w:rsid w:val="00610EE3"/>
    <w:rPr>
      <w:bCs/>
      <w:iCs/>
    </w:rPr>
  </w:style>
  <w:style w:type="paragraph" w:customStyle="1" w:styleId="StyleBodyTextBoldBlack">
    <w:name w:val="Style Body Text + Bold Black"/>
    <w:basedOn w:val="GvdeMetni"/>
    <w:rsid w:val="003370ED"/>
    <w:rPr>
      <w:bCs/>
      <w:color w:val="000000"/>
    </w:rPr>
  </w:style>
  <w:style w:type="paragraph" w:customStyle="1" w:styleId="StyleBodyTextBoldLinespacing15lines">
    <w:name w:val="Style Body Text + Bold Line spacing:  1.5 lines"/>
    <w:basedOn w:val="GvdeMetni"/>
    <w:rsid w:val="003370ED"/>
    <w:pPr>
      <w:spacing w:line="360" w:lineRule="auto"/>
    </w:pPr>
    <w:rPr>
      <w:bCs/>
    </w:rPr>
  </w:style>
  <w:style w:type="paragraph" w:customStyle="1" w:styleId="StyleBodyTextBoldLeft0cmHanging15cmLinespacing">
    <w:name w:val="Style Body Text + Bold Left:  0 cm Hanging:  15 cm Line spacing..."/>
    <w:basedOn w:val="GvdeMetni"/>
    <w:rsid w:val="003370ED"/>
    <w:pPr>
      <w:spacing w:line="360" w:lineRule="auto"/>
      <w:ind w:left="851" w:hanging="851"/>
    </w:pPr>
    <w:rPr>
      <w:bCs/>
    </w:rPr>
  </w:style>
  <w:style w:type="paragraph" w:styleId="AklamaMetni">
    <w:name w:val="annotation text"/>
    <w:basedOn w:val="Normal"/>
    <w:semiHidden/>
    <w:rsid w:val="00C8558D"/>
    <w:rPr>
      <w:szCs w:val="20"/>
    </w:rPr>
  </w:style>
  <w:style w:type="paragraph" w:styleId="KonuBal">
    <w:name w:val="Title"/>
    <w:basedOn w:val="Normal"/>
    <w:qFormat/>
    <w:rsid w:val="00C8558D"/>
    <w:pPr>
      <w:jc w:val="center"/>
    </w:pPr>
    <w:rPr>
      <w:b/>
      <w:szCs w:val="20"/>
      <w:lang w:eastAsia="en-US"/>
    </w:rPr>
  </w:style>
  <w:style w:type="paragraph" w:styleId="AltKonuBal">
    <w:name w:val="Alt Konu Başlığı"/>
    <w:basedOn w:val="Normal"/>
    <w:qFormat/>
    <w:rsid w:val="00C8558D"/>
    <w:pPr>
      <w:jc w:val="center"/>
    </w:pPr>
    <w:rPr>
      <w:i/>
      <w:szCs w:val="20"/>
      <w:lang w:eastAsia="en-US"/>
    </w:rPr>
  </w:style>
  <w:style w:type="paragraph" w:styleId="GvdeMetniGirintisi">
    <w:name w:val="Body Text Indent"/>
    <w:basedOn w:val="Normal"/>
    <w:rsid w:val="00C8558D"/>
    <w:rPr>
      <w:i/>
      <w:szCs w:val="20"/>
      <w:lang w:eastAsia="en-US"/>
    </w:rPr>
  </w:style>
  <w:style w:type="paragraph" w:styleId="DipnotMetni">
    <w:name w:val="footnote text"/>
    <w:basedOn w:val="Normal"/>
    <w:semiHidden/>
    <w:rsid w:val="00C8558D"/>
    <w:rPr>
      <w:szCs w:val="20"/>
    </w:rPr>
  </w:style>
  <w:style w:type="character" w:styleId="DipnotBavurusu">
    <w:name w:val="footnote reference"/>
    <w:semiHidden/>
    <w:rsid w:val="00C8558D"/>
    <w:rPr>
      <w:vertAlign w:val="superscript"/>
    </w:rPr>
  </w:style>
  <w:style w:type="paragraph" w:styleId="GvdeMetni3">
    <w:name w:val="Body Text 3"/>
    <w:basedOn w:val="Normal"/>
    <w:rsid w:val="00C8558D"/>
    <w:pPr>
      <w:spacing w:after="120"/>
    </w:pPr>
    <w:rPr>
      <w:sz w:val="16"/>
      <w:szCs w:val="16"/>
    </w:rPr>
  </w:style>
  <w:style w:type="paragraph" w:styleId="GvdeMetni2">
    <w:name w:val="Body Text 2"/>
    <w:basedOn w:val="Normal"/>
    <w:rsid w:val="00C8558D"/>
    <w:pPr>
      <w:spacing w:after="120" w:line="480" w:lineRule="auto"/>
    </w:pPr>
    <w:rPr>
      <w:szCs w:val="20"/>
      <w:lang w:val="en-AU"/>
    </w:rPr>
  </w:style>
  <w:style w:type="character" w:styleId="SayfaNumaras">
    <w:name w:val="page number"/>
    <w:basedOn w:val="VarsaylanParagrafYazTipi"/>
    <w:rsid w:val="00C8558D"/>
  </w:style>
  <w:style w:type="character" w:styleId="Kpr">
    <w:name w:val="Hyperlink"/>
    <w:rsid w:val="00C8558D"/>
    <w:rPr>
      <w:color w:val="0000FF"/>
      <w:u w:val="single"/>
    </w:rPr>
  </w:style>
  <w:style w:type="paragraph" w:styleId="BalonMetni">
    <w:name w:val="Balloon Text"/>
    <w:basedOn w:val="Normal"/>
    <w:semiHidden/>
    <w:rsid w:val="0057503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C58F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lgeBalantlar">
    <w:name w:val="Document Map"/>
    <w:basedOn w:val="Normal"/>
    <w:semiHidden/>
    <w:rsid w:val="00D233E5"/>
    <w:pPr>
      <w:shd w:val="clear" w:color="auto" w:fill="000080"/>
    </w:pPr>
    <w:rPr>
      <w:rFonts w:ascii="Tahoma" w:hAnsi="Tahoma" w:cs="Tahoma"/>
    </w:rPr>
  </w:style>
  <w:style w:type="paragraph" w:styleId="GvdeMetniGirintisi2">
    <w:name w:val="Body Text Indent 2"/>
    <w:basedOn w:val="Normal"/>
    <w:rsid w:val="00D915EF"/>
    <w:pPr>
      <w:spacing w:after="120" w:line="480" w:lineRule="auto"/>
      <w:ind w:left="283"/>
    </w:pPr>
  </w:style>
  <w:style w:type="character" w:customStyle="1" w:styleId="AltbilgiChar">
    <w:name w:val="Altbilgi Char"/>
    <w:link w:val="Altbilgi"/>
    <w:uiPriority w:val="99"/>
    <w:rsid w:val="00133C0C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5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4.bin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2016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Nadiye ÇİÇEK</dc:creator>
  <cp:keywords/>
  <cp:lastModifiedBy>Burçak DOĞAN</cp:lastModifiedBy>
  <cp:revision>3</cp:revision>
  <cp:lastPrinted>2015-04-04T07:49:00Z</cp:lastPrinted>
  <dcterms:created xsi:type="dcterms:W3CDTF">2015-04-14T13:32:00Z</dcterms:created>
  <dcterms:modified xsi:type="dcterms:W3CDTF">2015-04-14T13:35:00Z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-120220765</vt:i4>
  </property>
  <property fmtid="{D5CDD505-2E9C-101B-9397-08002B2CF9AE}" pid="3" name="_EmailSubject">
    <vt:lpwstr>tst886 Ayçiçek yağı.doc düzeltilen metin.doc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PreviousAdHocReviewCycleID">
    <vt:i4>-1588972468</vt:i4>
  </property>
  <property fmtid="{D5CDD505-2E9C-101B-9397-08002B2CF9AE}" pid="7" name="_ReviewingToolsShownOnce">
    <vt:lpwstr/>
  </property>
</Properties>
</file>